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11.2002.125 vom 3. Oktober 2003</w:t>
      </w:r>
    </w:p>
    <w:p>
      <w:r>
        <w:t>TI Tribunale d'appello, 2003-10-03, IT</w:t>
      </w:r>
    </w:p>
    <w:p>
      <w:r>
        <w:rPr>
          <w:b/>
        </w:rPr>
        <w:t xml:space="preserve">Quelle: </w:t>
      </w:r>
      <w:r>
        <w:t>https://mcp.opencaselaw.ch/entscheid/ti_gerichte_11.2002.125</w:t>
      </w:r>
    </w:p>
    <w:p>
      <w:r>
        <w:t>FR: TI_GERICHTE 11.2002.125 du 3 octobre 2003</w:t>
      </w:r>
    </w:p>
    <w:p>
      <w:r>
        <w:t>IT: TI_GERICHTE 11.2002.125 del 3 ottobre 2003</w:t>
      </w:r>
    </w:p>
    <w:p>
      <w:pPr>
        <w:pStyle w:val="Heading2"/>
      </w:pPr>
      <w:r>
        <w:t>Regeste</w:t>
      </w:r>
    </w:p>
    <w:p>
      <w:r>
        <w:t>Sentenza o decisione senza scheda</w:t>
      </w:r>
    </w:p>
    <w:p>
      <w:pPr>
        <w:pStyle w:val="Heading2"/>
      </w:pPr>
      <w:r>
        <w:t>Erwägungen</w:t>
      </w:r>
    </w:p>
    <w:p>
      <w:r>
        <w:rPr>
          <w:b/>
        </w:rPr>
        <w:t>E. 2</w:t>
      </w:r>
    </w:p>
    <w:p>
      <w:r>
        <w:t>L'appellante sostiene invero che “l'opportunità per la figlia di frequentare la scuola di __________ in luogo di __________ è tutt'altro che stata accertata”. Ciò non basta tuttavia perché si indaghi a posteriori se rispondesse al bene della ragazza l'iscrizione alla scuo­la media di __________ per l'anno 2002/03. Un interesse legittimo all'emanazione di un giudizio è dato, per principio, solo ove sia concreto e attuale. Un interesse astratto e virtuale può eccezionalmente essere ritenuto legittimo, nonostante l'intervenuta caducità del litigio, ove ricorrano tre condizioni cumulative (al proposito è opportuno applicare per analogia la giurisprudenza del Tribunale federale sull'art. 88 OG: Poudret , Commentaire de la loi fédérale sur l'organisation judiciaire, vol. II, Berna 1990, pag. 390 a metà). Il primo verte sulla questione divenuta senza oggetto, la quale dev'essere suscettibile di ripresentarsi in ogni tempo e in circostanze identiche o quanto meno analoghe, il secondo riguarda la soluzione del caso, che dev'essere di fondamentale importanza e giustificarsi alla luce del pubblico interesse, la terza attiene alla durata della procedura, che dev'essere tale da impedire all'atto pratico una verifica tempestiva delle censure da parte dell'autorità di ricorso ( Kälin , Das Verfahren der staatsrechtlichen Beschwerde , 2ª edizione, pag. 261 seg. con richiami; Spühler , Die Praxis der staatsrechtlichen Beschwerde , Berna 1994, pag. 28 n. 16 con rinvii). Nella fattispecie estremi del genere non si ravvisano, l'autorizzazione a iscrivere la figlia a un istituto scolastico non potendosi ritenere una questione di fondamentale importanza la cui legittimità debba essere verificata anche a posteriori in virtù di preminenti interessi pubblici. Già per questo motivo l'appello non può essere vagliato retrospettivamente.</w:t>
      </w:r>
    </w:p>
    <w:p>
      <w:r>
        <w:rPr>
          <w:b/>
        </w:rPr>
        <w:t>E. 3</w:t>
      </w:r>
    </w:p>
    <w:p>
      <w:r>
        <w:t>settembre 2001, consid. 2b). Ne discende che su questo punto l'appello risulta sprovvisto di buon diritto.</w:t>
      </w:r>
    </w:p>
    <w:p>
      <w:r>
        <w:rPr>
          <w:b/>
        </w:rPr>
        <w:t>E. 4</w:t>
      </w:r>
    </w:p>
    <w:p>
      <w:r>
        <w:t>Quanto agli oneri del presente giudizio, occorre tenere conto che l'appellante soccombe sulla questione dell'assistenza giudiziaria, mentre per il resto la lite è divenuta senza interes­se (consid. 1). Ora, dandosi caducità o carenza d'interesse giuridico, si applica per analogia – in ma­teria di spese e ripetibili – l'art. 72 della procedura civile federale (I CCA, sentenza del 1° febbraio 1996 in re A., consid. 6; del 1° giugno 1993 in re F., consid. 1 e 2; precetto menzionato anche in: Cocchi/Trezzini , CPC massimato e commentato, Lugano 2000, n. 4 in fine ad art. 351). Quest'ultima nor­ma stabilisce che ove una lite diventi – appunto – priva d'og­getto o d'interesse giuridico, il tribunale, udite le parti ma senza ulteriore dibattimento, dichiara il processo terminato e sta­tuisce con motivazione sommaria sulle spese, “tenendo conto dello sta­to delle cose prima del verificarsi del motivo che termina la lite”. In concreto occorre valutare sommariamente, di conseguenza, quale probabilità di buon esito avrebbe avuto l'appello se la Camera avesse statuito al riguardo (cfr. DTF 118 Ia 494 consid. 4, 111 Ib 191 consid. 7a). Nella fattispecie, come detto, il litigio ver­teva sull'autorizzazione data al padre di iscrivere la figlia alla scuola media di __________ per l'anno 2002/03. Considerato che al momento in cui è stato introdotto l'appello l'anno scolastico era già iniziato, il ricorso non aveva ragionevoli possibilità di successo, mal intravedendosi come questa Camera avrebbe ritenuto consono al bene della figlia il trasferimento da un istituto scolastico a un altro senza ragioni serie e preminenti. Le spese devono quindi essere poste a carico della ricorrente, la quale va tenuta a rifondere alla controparte un'adeguata indennità per ripetibili. Quanto alla domanda di assistenza giudiziaria formulata in appello, indipendentemente da eventuali ristrettezze economiche, il beneficio dev'essere rifiutato già per il fatto che il ricorso non denotava alcuna apprezzabile probabilità di buon esito (art. 14 Lag). Per questi motivi, vista sulle spese anche la tariffa giudiziaria, pronuncia: 1.   Nella misura in cui non è divenuto senza interesse, l'appello è respinto e la decisione impugnata è confermata. 2.   Gli oneri processuali, consistenti in: a) tassa di giustizia      fr. 200.– b) spese                         fr.   50.– fr. 250.– sono posti a carico dell'appellante, che rifonderà a __________ __________ fr. 800.– per ripetibili. 3.   La richiesta di assistenza giudiziaria presentata da __________ __________ __________ è respinta. 4.   Intimazione a: –__________; __________; – Commissione tutoria regionale _, __________. Comunicazione a: – Sezione degli enti locali quale autorità di vigilanza sulle tutele; – avv. __________ __________ __________, __________ (limitatamente ai dispositivi n. 1 e 3).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