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11.2001.85 vom 10. Juli 2001</w:t>
      </w:r>
    </w:p>
    <w:p>
      <w:r>
        <w:t>TI Tribunale d'appello, 2001-07-10, IT</w:t>
      </w:r>
    </w:p>
    <w:p>
      <w:r>
        <w:rPr>
          <w:b/>
        </w:rPr>
        <w:t xml:space="preserve">Quelle: </w:t>
      </w:r>
      <w:r>
        <w:t>https://mcp.opencaselaw.ch/entscheid/ti_gerichte_11.2001.85</w:t>
      </w:r>
    </w:p>
    <w:p>
      <w:r>
        <w:t>FR: TI_GERICHTE 11.2001.85 du 10 juillet 2001</w:t>
      </w:r>
    </w:p>
    <w:p>
      <w:r>
        <w:t>IT: TI_GERICHTE 11.2001.85 del 10 luglio 2001</w:t>
      </w:r>
    </w:p>
    <w:p>
      <w:pPr>
        <w:pStyle w:val="Heading2"/>
      </w:pPr>
      <w:r>
        <w:t>Volltext</w:t>
      </w:r>
    </w:p>
    <w:p>
      <w:r>
        <w:t>Incarto n.11.2001.00085</w:t>
      </w:r>
    </w:p>
    <w:p>
      <w:r>
        <w:t>Lugano,</w:t>
      </w:r>
    </w:p>
    <w:p>
      <w:r>
        <w:t>27 settembre 2001/rgc</w:t>
      </w:r>
    </w:p>
    <w:p>
      <w:r>
        <w:t>In nomedella Repubblica e Cantonedel Ticino</w:t>
      </w:r>
    </w:p>
    <w:p>
      <w:r>
        <w:t>La prima Camera civile del Tribunale d'appello</w:t>
      </w:r>
    </w:p>
    <w:p>
      <w:r>
        <w:t>composta dei giudici:</w:t>
      </w:r>
    </w:p>
    <w:p>
      <w:r>
        <w:t>Epiney-Colombo, presidente,G. A. Bernasconi e Giani</w:t>
      </w:r>
    </w:p>
    <w:p>
      <w:r>
        <w:t>segretario:</w:t>
      </w:r>
    </w:p>
    <w:p>
      <w:r>
        <w:t>Ambrosini, vicecancelliere</w:t>
      </w:r>
    </w:p>
    <w:p>
      <w:r>
        <w:t>sedente per statuire nella causa __________.__________.__________ (azione di paternità e di mantenimento)della Pretura del Distretto di Lugano, sezione 6, promossa con petizione del 16 giugno 2000da</w:t>
      </w:r>
    </w:p>
    <w:p>
      <w:r>
        <w:t>__________ __________ ____________________ __________ __________,__________, e</w:t>
      </w:r>
    </w:p>
    <w:p>
      <w:r>
        <w:t>__________ __________ __________(1997),già in __________</w:t>
      </w:r>
    </w:p>
    <w:p>
      <w:r>
        <w:t>(quest'ultima rappresentata dalla prima litisconsorte</w:t>
      </w:r>
    </w:p>
    <w:p>
      <w:r>
        <w:t>ed entrambe patrocinate dall'avv. __________ __________, __________)</w:t>
      </w:r>
    </w:p>
    <w:p>
      <w:r>
        <w:t>contro</w:t>
      </w:r>
    </w:p>
    <w:p>
      <w:r>
        <w:t>__________ __________,__________</w:t>
      </w:r>
    </w:p>
    <w:p>
      <w:r>
        <w:t>(ora patrocinato dall'avv. __________ __________, __________);</w:t>
      </w:r>
    </w:p>
    <w:p>
      <w:r>
        <w:t>accertato che l'invio raccomandato è stato ritirato dal destinatario l'indomani, 10 luglio 2001;</w:t>
      </w:r>
    </w:p>
    <w:p>
      <w:r>
        <w:t>constatato che finora non risulta essere intervenuto versamento alcuno, né l'appellante consta avere chiesto un'eventuale restituzione del termine (art. 137 CPC);</w:t>
      </w:r>
    </w:p>
    <w:p>
      <w:r>
        <w:t>ritenuto che nelle circostanze descritte il ricorso non può essere esaminato nel merito;</w:t>
      </w:r>
    </w:p>
    <w:p>
      <w:r>
        <w:t>considerato che gli oneri processuali (con tassa di giustizia ridotta a norma dell'art. 21 LTG) vanno a carico di chi li ha provocati, mentre non si giustifica di attribuire ripetibili alle attrici, cui l'appello non è stato intimato;</w:t>
      </w:r>
    </w:p>
    <w:p>
      <w:r>
        <w:t>Per la prima Camera civile del Tribunale dappello</w:t>
      </w:r>
    </w:p>
    <w:p>
      <w:r>
        <w:t>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