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11.2001.34 vom 13. Juni 2001</w:t>
      </w:r>
    </w:p>
    <w:p>
      <w:r>
        <w:t>TI Tribunale d'appello, 2001-06-13, IT</w:t>
      </w:r>
    </w:p>
    <w:p>
      <w:r>
        <w:rPr>
          <w:b/>
        </w:rPr>
        <w:t xml:space="preserve">Quelle: </w:t>
      </w:r>
      <w:r>
        <w:t>https://mcp.opencaselaw.ch/entscheid/ti_gerichte_11.2001.34</w:t>
      </w:r>
    </w:p>
    <w:p>
      <w:r>
        <w:t>FR: TI_GERICHTE 11.2001.34 du 13 juin 2001</w:t>
      </w:r>
    </w:p>
    <w:p>
      <w:r>
        <w:t>IT: TI_GERICHTE 11.2001.34 del 13 giugno 2001</w:t>
      </w:r>
    </w:p>
    <w:p>
      <w:pPr>
        <w:pStyle w:val="Heading2"/>
      </w:pPr>
      <w:r>
        <w:t>Volltext</w:t>
      </w:r>
    </w:p>
    <w:p>
      <w:r>
        <w:t>Incarto n.11.2001.00034</w:t>
      </w:r>
    </w:p>
    <w:p>
      <w:r>
        <w:t>Lugano</w:t>
      </w:r>
    </w:p>
    <w:p>
      <w:r>
        <w:t>13 giugno 2001/kc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segretario:</w:t>
      </w:r>
    </w:p>
    <w:p>
      <w:r>
        <w:t>Ambrosini, vicecancelliere</w:t>
      </w:r>
    </w:p>
    <w:p>
      <w:r>
        <w:t>sedente per statuire nella causa __.____/R.__.____ (privazione della custodia parentale) della Divisione degli interni, Sezione degli enti locali quale autorità di vigilanza sulle tutele, che oppone</w:t>
      </w:r>
    </w:p>
    <w:p>
      <w:r>
        <w:t>__________ e __________ __________, __________, con</w:t>
      </w:r>
    </w:p>
    <w:p>
      <w:r>
        <w:t>__________ __________, __________</w:t>
      </w:r>
    </w:p>
    <w:p>
      <w:r>
        <w:t>(patrocinati dall'avv. __________ __________ -__________, __________)</w:t>
      </w:r>
    </w:p>
    <w:p>
      <w:r>
        <w:t>alla</w:t>
      </w:r>
    </w:p>
    <w:p>
      <w:r>
        <w:t>Delegazione tutoria di__________</w:t>
      </w:r>
    </w:p>
    <w:p>
      <w:r>
        <w:t>(ora Commissione tutoria regionale 5, __________)</w:t>
      </w:r>
    </w:p>
    <w:p>
      <w:r>
        <w:t>riguardo la custodia parentale di</w:t>
      </w:r>
    </w:p>
    <w:p>
      <w:r>
        <w:t>__________ __________,__________</w:t>
      </w:r>
    </w:p>
    <w:p>
      <w:r>
        <w:t>premesso che __________ __________ è nata il ____________________ 1990 dalla relazione fra __________ __________ (1956) e __________ __________ (1959);</w:t>
      </w:r>
    </w:p>
    <w:p>
      <w:r>
        <w:t>tenuto conto che con risoluzione del 7 giugno 2000 la Delegazione tutoria di __________ ha rinunciato a emanare provvedimenti nei confronti della bambina;</w:t>
      </w:r>
    </w:p>
    <w:p>
      <w:r>
        <w:t>posto che il 2 febbraio 2001, statuendo su un ricorso presentato da ____________________, __________ __________e __________ __________, la Divisione degli interni, Sezione degli enti locali quale autorità di vigilanza sulle tutele, ha privato __________ __________ della custodia parentale, affidando __________ dal 18 giugno 2001 alla nonna paterna __________ __________ e al nuovo marito __________, regolando nel contempo il diritto di visita della madre;</w:t>
      </w:r>
    </w:p>
    <w:p>
      <w:r>
        <w:t>rilevato che contro la citata decisione __________ __________ è insorta il 22 febbraio 2001 con un appello nel quale chiede l'annullamento della decisione impugnata o quanto meno, in subordine, un diritto di visita più esteso rispetto a quello fissato dall'autorità di vigilanza;</w:t>
      </w:r>
    </w:p>
    <w:p>
      <w:r>
        <w:t>accertato che nelle loro osservazioni del 23 marzo 2001 __________ __________, __________ __________ e con __________ __________ hanno proposto di respingere il ricorso e con appello adesivo hanno chiesto l'immediato affidamento di __________;</w:t>
      </w:r>
    </w:p>
    <w:p>
      <w:r>
        <w:t>preso atto che il 7 giugno 2001 __________ __________ ha comunicato a questa Camera di ritirare il ricorso;</w:t>
      </w:r>
    </w:p>
    <w:p>
      <w:r>
        <w:t>ricordato che il ritiro dell'appello equivale per principio a desistenza (Rep. 1978 pag. 375) e comporta, di regola, l'addebito degli oneri processuali a chi recede dalla lite, con obbligo di rifondere alla controparte un'equa indennità per ripetibili;</w:t>
      </w:r>
    </w:p>
    <w:p>
      <w:r>
        <w:t>Per la prima Camera civile del Tribunale d'appello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