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11.2000.27 vom 4. Mai 2000</w:t>
      </w:r>
    </w:p>
    <w:p>
      <w:r>
        <w:t>TI Tribunale d'appello, 2000-05-04, IT</w:t>
      </w:r>
    </w:p>
    <w:p>
      <w:r>
        <w:rPr>
          <w:b/>
        </w:rPr>
        <w:t xml:space="preserve">Quelle: </w:t>
      </w:r>
      <w:r>
        <w:t>https://mcp.opencaselaw.ch/entscheid/ti_gerichte_11.2000.27</w:t>
      </w:r>
    </w:p>
    <w:p>
      <w:r>
        <w:t>FR: TI_GERICHTE 11.2000.27 du 4 mai 2000</w:t>
      </w:r>
    </w:p>
    <w:p>
      <w:r>
        <w:t>IT: TI_GERICHTE 11.2000.27 del 4 maggio 2000</w:t>
      </w:r>
    </w:p>
    <w:p>
      <w:pPr>
        <w:pStyle w:val="Heading2"/>
      </w:pPr>
      <w:r>
        <w:t>Volltext</w:t>
      </w:r>
    </w:p>
    <w:p>
      <w:r>
        <w:t>Incarto n.11.2000.00027</w:t>
      </w:r>
    </w:p>
    <w:p>
      <w:r>
        <w:t>Lugano</w:t>
      </w:r>
    </w:p>
    <w:p>
      <w:r>
        <w:t>4 maggio 2000/ld</w:t>
      </w:r>
    </w:p>
    <w:p>
      <w:r>
        <w:t>In nomedella Repubblica e Cantonedel Ticino</w:t>
      </w:r>
    </w:p>
    <w:p>
      <w:r>
        <w:t>La prima Camera civile del Tribunale d'appello</w:t>
      </w:r>
    </w:p>
    <w:p>
      <w:r>
        <w:t>composta dei giudici:</w:t>
      </w:r>
    </w:p>
    <w:p>
      <w:r>
        <w:t>Epiney-Colombo, presidente,G. A. Bernasconi e Giani</w:t>
      </w:r>
    </w:p>
    <w:p>
      <w:r>
        <w:t>segretario:</w:t>
      </w:r>
    </w:p>
    <w:p>
      <w:r>
        <w:t>Ambrosini, vicecancelliere</w:t>
      </w:r>
    </w:p>
    <w:p>
      <w:r>
        <w:t>sedente per statuire nella caus____.__.______ (interdizione) della Divisione degli interni, Sezione degli enti locali quale autorità di vigilanza sulle tutele, promossa con istanza del 14 luglio 1999 dalla</w:t>
      </w:r>
    </w:p>
    <w:p>
      <w:r>
        <w:t>Delegazione tutoria di __________</w:t>
      </w:r>
    </w:p>
    <w:p>
      <w:r>
        <w:t>nei confronti di</w:t>
      </w:r>
    </w:p>
    <w:p>
      <w:r>
        <w:t>__________ __________,già in __________</w:t>
      </w:r>
    </w:p>
    <w:p>
      <w:r>
        <w:t>(rappresentata da __________ __________, __________);</w:t>
      </w:r>
    </w:p>
    <w:p>
      <w:r>
        <w:t>stabilito che in tali circostanze la procedura d'interdizione è divenuta priva d'oggetto (v.Frank/Sträuli/Messmer, Kommentar zum zürcherischen Zivilprozessordnung, 3aedizione, n. 24a al § 49) e deve essere stralciata dai ruoli;</w:t>
      </w:r>
    </w:p>
    <w:p>
      <w:r>
        <w:t>ritenuto che la particolarità della fattispecie giustifica di soprassedere al prelievo di tasse e spese;</w:t>
      </w:r>
    </w:p>
    <w:p>
      <w:r>
        <w:t>osservato che non si giustifica di assegnare ripetibili alla controparte, cui l'appello non è nemmeno stato intimato;</w:t>
      </w:r>
    </w:p>
    <w:p>
      <w:r>
        <w:t>Per la prima Camera civile del Tribunale dappello</w:t>
      </w:r>
    </w:p>
    <w:p>
      <w:r>
        <w:t>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