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11.2000.21 vom 10. April 2001</w:t>
      </w:r>
    </w:p>
    <w:p>
      <w:r>
        <w:t>TI Tribunale d'appello, 2001-04-10, IT</w:t>
      </w:r>
    </w:p>
    <w:p>
      <w:r>
        <w:rPr>
          <w:b/>
        </w:rPr>
        <w:t xml:space="preserve">Quelle: </w:t>
      </w:r>
      <w:r>
        <w:t>https://mcp.opencaselaw.ch/entscheid/ti_gerichte_11.2000.21</w:t>
      </w:r>
    </w:p>
    <w:p>
      <w:r>
        <w:t>FR: TI_GERICHTE 11.2000.21 du 10 avril 2001</w:t>
      </w:r>
    </w:p>
    <w:p>
      <w:r>
        <w:t>IT: TI_GERICHTE 11.2000.21 del 10 aprile 2001</w:t>
      </w:r>
    </w:p>
    <w:p>
      <w:pPr>
        <w:pStyle w:val="Heading2"/>
      </w:pPr>
      <w:r>
        <w:t>Regeste</w:t>
      </w:r>
    </w:p>
    <w:p>
      <w:r>
        <w:t>Sentenza o decisione senza scheda</w:t>
      </w:r>
    </w:p>
    <w:p>
      <w:pPr>
        <w:pStyle w:val="Heading2"/>
      </w:pPr>
      <w:r>
        <w:t>Erwägungen</w:t>
      </w:r>
    </w:p>
    <w:p>
      <w:r>
        <w:rPr>
          <w:b/>
        </w:rPr>
        <w:t>E. 2</w:t>
      </w:r>
    </w:p>
    <w:p>
      <w:r>
        <w:t>Il Pretore ha dichiarato inammissibile l'istanza delle appellanti giudicandola non necessaria. Egli ha rilevato che, di fatto, il notaio aveva fatto propria la proposta __________ __________ e __________ (detta __________) __________, di modo che sarebbe spettato a __________ __________ e __________ __________ promuovere causa. Ciò premesso, egli ha posto gli oneri processuali e le ripetibili, calcolati in base a un valore litigioso di fr. 231'000.–, a carico delle istanti e di __________ __________, la quale aveva – come detto – aderito all'istanza. Le istanti sostengono, nei loro appelli, che gli oneri processuali non potevano essere loro addebitati, poiché esse sono state indotte a promuovere causa dal Pretore medesimo, sulla base di errori e sviste commessi dal notaio.</w:t>
      </w:r>
    </w:p>
    <w:p>
      <w:r>
        <w:rPr>
          <w:b/>
        </w:rPr>
        <w:t>E. 3</w:t>
      </w:r>
    </w:p>
    <w:p>
      <w:r>
        <w:t>A norma dell'art. 148 cpv. 1 CPC il giudice condanna la parte soccombente a rimborsare all'altra parte le tasse, le spese giudiziarie e le ripetibili. Se vi è soccombenza reciproca o concorrono altri giusti motivi, il giudice può procedere – in tutto o in parte – a una suddivisione (cpv. 2). Nel primo caso il riparto avviene, di regola, in proporzione al vicendevole grado di soccombenza ( Cocchi/Trezzini , Codice di procedura civile ticinese massimato e commentato, Lugano 2000, n. 36 ad art. 148). La giurisprudenza ha già avuto occasione di rilevare, in ogni modo, che nella determinazione degli oneri processuali – e del loro riparto – il Pretore gode di ampia latitudine, sicché la sua valutazione è censurabile solo per eccesso o per abuso del potere di apprezzamento (I CCA, sentenza del 1° febbraio 1992 nella causa A., consid. 3; Rep. 1996 pag. 171).</w:t>
      </w:r>
    </w:p>
    <w:p>
      <w:r>
        <w:rPr>
          <w:b/>
        </w:rPr>
        <w:t>E. 4</w:t>
      </w:r>
    </w:p>
    <w:p>
      <w:r>
        <w:t>Nella fattispecie le istanti sono risultate soccombenti, l'istanza essendo stata dichiarata inammissibile. Di massima gli oneri processuali andrebbero di conseguenza a loro carico (art. 148 cpv. 1 CPC). In realtà soccorrono manifestamente “giusti motivi” (nel senso dell'art. 148 cpv. 2 CPC) per scostarsi da un esito tanto rigoroso. Intanto lo stesso Pretore ha definito inutile (“non affatto necessaria”) l'istanza non per vana litigiosità delle due coeredi, ma perché il notaio, “con una formulazione certo discutibile”, di fatto aveva già accolto la loro proposta (sentenza impugnata, consid. 4c). Nel brevetto n. __________il pubblico ufficiale aveva invero preso atto della proposta avanzata da __________ __________ e __________ (detta __________) __________, ma mentre aveva registrato l'adesione di __________ __________ e l'opposizione delle altre due coeredi (che avevano presentato loro controproposte: doc. C nell'inc. __________.__________.__________, richiamato), aveva omesso di precisare ch'egli faceva propria – appunto – la prima. Oltre a ciò, giovi rilevare che l'ordinanza del 9 aprile 1999 con cui il Pretore fissava a tutte le eredi il termine dell'art. 480 cpv. 2 CPC (doc. B allegato agli appelli) non appariva meno equivoca. Visto che il brevetto n. __________non conteneva una chiara proposta sul modo di divisione, in effetti, non era fuori luogo pretendere che il Pretore rinviasse il documento al notaio perché formalizzasse esplicitamente il suo modo di procedere. Del resto, se dal contenuto del brevetto risultava in maniera comprensibile che il notaio aveva accolto la proposta delle istanti, mal si comprende perché il primo giudice abbia assegnato anche a queste ultime il termine dell'art. 480 cpv. 2 CPC, inducendole a promuovere causa. Nelle circostanze descritte soccorrevano palesemente “giusti motivi” per rinunciare al prelievo di tasse e spese. Al proposito la sentenza impugnata denota un eccesso di apprezzamento e va riformata di conseguenza.</w:t>
      </w:r>
    </w:p>
    <w:p>
      <w:r>
        <w:rPr>
          <w:b/>
        </w:rPr>
        <w:t>E. 5</w:t>
      </w:r>
    </w:p>
    <w:p>
      <w:r>
        <w:t>Per quanto riguarda le ripetibili, la situazione si rivela diversa. È vero infatti che le istanti sono state indotte in buona fede a piatire, ma è altrettanto vero che in buona fede le convenute si dovute difendere con l'assistenza di un legale. Né esse hanno contribuito in qualche modo all'insorgere del malinteso. Tutt'al più esse avrebbero invero potuto limitarsi a far valere l'inutilità della lite, una di loro avendo del resto promosso causa a sua volta davanti al medesimo Pretore (sopra, consid. C). Nella procedura di camera di consiglio, nondimeno, tutte le obiezioni e le eccezioni vanno sollevate all'udienza (art. 363 cpv. 2 CPC). Quand'anche le convenute si fossero limitate ad agire nel modo testé evocato, pertanto, la procedura non ne sarebbe risultata apprezzabilmente alleggerita. Ne segue che, per quel che è delle ripetibili, non si ravvisano “giusti motivi” per derogare al principio della soccombenza. Su questo punto l'appello è destinato all'insuccesso. In subordine le appellanti postulano una riduzione delle ripetibili, contestando il valore litigioso fissato dal Pretore e rilevando che le indennità stabilite in prima sede sono eccessive per rapporto alle prestazioni fornite dai legali di controparte. Se non che, esse non indicano di quanto dovrebbero essere ridotte le indennità controverse. Ora, una tale formulazione, del tutto indeterminata, non risponde alle esigenze minime dell'art. 309 cpv. 2 lett. d e e CPC (Rep. 1993 pag. 228 consid. b; Cocchi/Trezzini , op. cit., n. 10 e 11 ad art. 309 CPC). La domanda subordinata di appello va dunque dichiarata irricevibile.</w:t>
      </w:r>
    </w:p>
    <w:p>
      <w:r>
        <w:rPr>
          <w:b/>
        </w:rPr>
        <w:t>E. 6</w:t>
      </w:r>
    </w:p>
    <w:p>
      <w:r>
        <w:t>Gli oneri processuali seguono la reciproca soccombenza (art. 148 cpv. 2 CPC). Sono posti così in ragione di un terzo ciascuno a carico delle parti che si sono costituite davanti a questa Camera, compensate le ripetibili. Non si assegnano ripetibili, per converso, alle due coeredi che sono rimasti silenti. Per questi motivi, pronuncia: 1.   L'appello è parzialmente accolto, nel senso che il dispositivo n. 2 della sentenza impugnata è così riformato: Non si riscuotono tasse né spese. __________ __________, __________ __________ e __________ __________ rifonderanno solidalmente a __________ __________ e __________ __________ fr. 4'200.– ciascuna a titolo di ripetibili. 2.   Gli oneri processuali di appello, consistenti in: a) tassa di giustizia unica   fr.  400.– b) spese fr.    50.– fr.  450.– da anticipare dalle appellanti, sono posti per un terzo ciascuno a carico di __________ (detta __________) __________, __________ __________ e __________ __________. Le ripetibili sono compensate. Non si assegnano ripetibili a __________ __________ né a __________ __________. 3.   Intimazione a: – avv. __________ __________, __________; – __________ (detta __________) __________, __________; – avv. __________ __________, __________; – avv. __________ __________ -__________, __________; – avv. __________ __________, __________. Comunicazione alla Pretura del Distretto di Lugano, sezione 4.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