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11.2000.142 vom 4. Juli 2001</w:t>
      </w:r>
    </w:p>
    <w:p>
      <w:r>
        <w:t>TI Tribunale d'appello, 2001-07-04, IT</w:t>
      </w:r>
    </w:p>
    <w:p>
      <w:r>
        <w:rPr>
          <w:b/>
        </w:rPr>
        <w:t xml:space="preserve">Quelle: </w:t>
      </w:r>
      <w:r>
        <w:t>https://mcp.opencaselaw.ch/entscheid/ti_gerichte_11.2000.142</w:t>
      </w:r>
    </w:p>
    <w:p>
      <w:r>
        <w:t>FR: TI_GERICHTE 11.2000.142 du 4 juillet 2001</w:t>
      </w:r>
    </w:p>
    <w:p>
      <w:r>
        <w:t>IT: TI_GERICHTE 11.2000.142 del 4 luglio 2001</w:t>
      </w:r>
    </w:p>
    <w:p>
      <w:pPr>
        <w:pStyle w:val="Heading2"/>
      </w:pPr>
      <w:r>
        <w:t>Regeste</w:t>
      </w:r>
    </w:p>
    <w:p>
      <w:r>
        <w:t>Sentenza o decisione senza scheda</w:t>
      </w:r>
    </w:p>
    <w:p>
      <w:pPr>
        <w:pStyle w:val="Heading2"/>
      </w:pPr>
      <w:r>
        <w:t>Volltext</w:t>
      </w:r>
    </w:p>
    <w:p>
      <w:r>
        <w:t>Tessin Tribunale di appello diritto civile La prima Camera civile 04.07.2001 11.2000.142 Tessin Tribunale di appello diritto civile La prima Camera civile 04.07.2001 11.2000.142 Ticino Tribunale di appello diritto civile La prima Camera civile 04.07.2001 11.2000.142</w:t>
      </w:r>
    </w:p>
    <w:p>
      <w:r>
        <w:t>Sentenza o decisione senza scheda</w:t>
      </w:r>
    </w:p>
    <w:p>
      <w:r>
        <w:t>Incarto n.: 11.2000.00142 Lugano 4 luglio 2001 /rgc In nome della Repubblica e Cantone del Ticino La prima Camera civile del Tribunale d'appello composta dei giudici: Epiney-Colombo, presidente, G. A. Bernasconi e Giani segretario: Ambrosini, vicecancelliere sedente per statuire nella causa __.____._____ (azione di divorzio) della Pretura del Distretto di Bellinzona promossa con petizione dell'11 febbraio 1999 da __________ __________ , __________ (rappresentato dall'avv. __________ __________ -__________i, __________) con __________ __________ , nata __________ , __________ (patrocinata dall'avv. __________ __________, __________); premesso che con decreto cautelare del 30 ottobre 2000 il Pretore del Distretto di Bellinzona ha disciplinato la vita separata dei coniugi __________ e __________ __________, in particolare l'affidamento della figlia __________ (nata il ____________________ 1986) alla madre, il diritto di visita del padre e il contributo alimentare dovuto da questi per la figlia e la moglie; accertato che il 16 novembre 2000 __________ __________ ha appellato tale decreto, postulando l'affidamento della figlia a sé medesimo, riservato il diritto di visita della madre, o in via subordinata la riduzione del contributo alimentare a suo carico; preso atto che nelle sue osservazioni dell'11 dicembre 2000 __________ __________ ha proposto di respingere l'appello e di confermare il giudizio impugnato; esaminata ora la lettera del 28 giugno 2001 con cui __________ __________ dichiara di ritirare l'appello per avere, le parti, sottoscritto nel frattempo una convenzione sugli effetti del divorzio nella quale consentono alla compensazione delle ripetibili anche per la procedura di appello; ritenuto che nelle circostanze descritte rimane da statuire solo sugli oneri processuali di seconda sede; considerato che di regola chi recede da una lite deve sopportare le tasse e le spese inutilmente cagionate (Rep. 1990 pag. 284, 1978 pag. 375 seg.) e che nella fattispecie non si intravedono ragioni per scostarsi da tale principio; stabilito nondimeno che gli oneri processuali vanno ridotti al minimo per tenere conto delle condizioni finanziarie dell'appellante e della buona volontà dimostrata dai coniugi (art. 21 LTG); osservato che in materia di ripetibili non vi è motivo per disattendere quanto le parti stesse hanno pattuito nella convenzione (clausola n. 2.8, sentenza del 26 giugno 2001); richiamato l'art. 352 cpv. 1 e 2 CPC, decreta: 1.   La causa è stralciata dai ruoli per desistenza. 2.   Gli oneri processuali, consistenti in: a) tassa di giustizia      fr.   50.– b) spese                         fr.   50.– fr. 100.– sono posti a carico dell'appellante, compensate le ripetibili. 3.   Intimazione: – avv. __________ __________ -__________, __________; – avv. __________ __________, __________. Comunicazione al Pretore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