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11.2000.126 vom 14. Dezember 2000</w:t>
      </w:r>
    </w:p>
    <w:p>
      <w:r>
        <w:t>TI Tribunale d'appello, 2000-12-14, IT</w:t>
      </w:r>
    </w:p>
    <w:p>
      <w:r>
        <w:rPr>
          <w:b/>
        </w:rPr>
        <w:t xml:space="preserve">Quelle: </w:t>
      </w:r>
      <w:r>
        <w:t>https://mcp.opencaselaw.ch/entscheid/ti_gerichte_11.2000.126</w:t>
      </w:r>
    </w:p>
    <w:p>
      <w:r>
        <w:t>FR: TI_GERICHTE 11.2000.126 du 14 décembre 2000</w:t>
      </w:r>
    </w:p>
    <w:p>
      <w:r>
        <w:t>IT: TI_GERICHTE 11.2000.126 del 14 dicembre 2000</w:t>
      </w:r>
    </w:p>
    <w:p>
      <w:pPr>
        <w:pStyle w:val="Heading2"/>
      </w:pPr>
      <w:r>
        <w:t>Regeste</w:t>
      </w:r>
    </w:p>
    <w:p>
      <w:r>
        <w:t>Sentenza o decisione senza scheda</w:t>
      </w:r>
    </w:p>
    <w:p>
      <w:pPr>
        <w:pStyle w:val="Heading2"/>
      </w:pPr>
      <w:r>
        <w:t>Volltext</w:t>
      </w:r>
    </w:p>
    <w:p>
      <w:r>
        <w:t>Tessin Tribunale di appello diritto civile La prima Camera civile 14.12.2000 11.2000.126 Tessin Tribunale di appello diritto civile La prima Camera civile 14.12.2000 11.2000.126 Ticino Tribunale di appello diritto civile La prima Camera civile 14.12.2000 11.2000.126</w:t>
      </w:r>
    </w:p>
    <w:p>
      <w:r>
        <w:t>Sentenza o decisione senza scheda</w:t>
      </w:r>
    </w:p>
    <w:p>
      <w:r>
        <w:t>Incarto n. 11.2000.00126 Lugano , 14 dicembre 2000 /rgc In nome della Repubblica e Cantone del Ticino La prima Camera civile del Tribunale d'appello composta dei giudici: Epiney-Colombo, presidente, G. A. Bernasconi e Giani segretario: Ambrosini, vicecancelliere sedente per statuire nella causa __________.__________.__________ (proprietà per piani: nomina dell'amministratore) della Pretura della giurisdizione di Locarno Campagna promossa con istanza del 28 settembre 2000 da __________ e __________ __________ , __________, e __________ __________ , __________. __________ (patrocinati dall'avv. __________ __________, __________) nei confronti della Comunione dei comproprietari del “__________ __________ __________ ”, __________ ; premesso che con sentenza (“decreto”) del 29 settembre 2000 il Pretore della giurisdizione di Locarno Campagna ha designato, su richiesta dei comproprietari __________ __________, __________ __________ e __________ __________, un nuovo amministratore al Condominio “__________ __________ ” di __________ nella persona di __________ __________, __________; preso atto che contro tale sentenza si è appellata il 12 ottobre 2000 la comproprietaria __________ __________ __________ __________ __________, postulando l'annullamento del “decreto” e il rinvio degli atti al Pretore per nuovo giudizio previo contraddittorio; accertato che con lettera del 21 novembre 2000 gli istanti hanno dichiarato a questa Camera di ritirare la richiesta intesa alla nomina dell'amministratore, la loro legale essendo nel contempo patrocinatrice della comunione dei comproprietari e non potendo quindi rappresentarli senza trovarsi in un conflitto d'ordine deontologico; ricordato che il ritiro di un appello equivale a desistenza (Rep. 1978 pag. 375) e che le ragioni addotte in concreto, riconducibili alla figura dell'avvocato, non bastano a denotare “giusti motivi” (nel senso dell'art. 148 cpv. 2 CPC) per derogare al principio della soccombenza; stabilito che nelle circostanze descritte si giustifica di prelevare una tassa di giustizia ridotta (art. 21 LTG); ricordato d'altra parte che nelle azioni intese alla nomina di un amministratore della proprietà per piani la legittimazione passiva compete alla sola comunione dei condomini ( Bösch in: Kommentar zum Schweizerischen Privatrecht, ZGB II, Basilea 1998, n. 11 in fine ad art. 712 q ); ritenuto di conseguenza che l'appello in esame, presentato da una singola comproprietaria a titolo personale (e non dalla comunione dei comproprietari), sarebbe verosimilmente sfuggito a un esame di merito; posto che, ciò premesso, non si giustifica di attribuire ripetibili; considerato in ogni modo, a futura memoria, che nonostante la verosimile irricevibilità dell'appello, in concreto la sentenza (e non “decreto”: art. 4 cpv. 1 n. 20 LAC in relazione con l'art. 368 cpv. 2 CPC) emessa dal Pretore sarebbe stata dichiarata nulla d'ufficio, il primo giudice avendo disatteso con ogni evidenza il principio del contraddittorio (art. 142 cpv. 1 lett. b e 146 CPC); osservato che, per concludere, appare opportuno comunicare il presente decreto anche all'amministratore designato e agli altri comproprietari, cui il Pretore ha notificato la propria sentenza; richiamato l'art. 352 cpv. 1 CPC, decreta: 1.   Si prende atto del ritiro dell'istanza. La sentenza impugnata è dichiarata caduca e la causa è stralciata dai ruoli per desistenza. 2.   Gli oneri processuali, consistenti in: a) tassa di giustizia      fr. 100.– b) spese                         fr.   50.– fr. 150.– sono poste a carico degli istanti in solido. Non si assegnano ripetibili. 3.   Intimazione: – avv. __________ __________, __________; – avv. __________ __________, __________. Comunicazione: – Pretura della giurisdizione di Locarno Campagna; – __________ __________, __________; – __________ __________, __________ (__________); – __________ __________, __________; – __________ __________, __________; – __________ __________, __________; – __________ __________,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