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11.1999.80 vom 17. Mai 2000</w:t>
      </w:r>
    </w:p>
    <w:p>
      <w:r>
        <w:t>TI Tribunale d'appello, 2000-05-17, IT</w:t>
      </w:r>
    </w:p>
    <w:p>
      <w:r>
        <w:rPr>
          <w:b/>
        </w:rPr>
        <w:t xml:space="preserve">Quelle: </w:t>
      </w:r>
      <w:r>
        <w:t>https://mcp.opencaselaw.ch/entscheid/ti_gerichte_11.1999.80</w:t>
      </w:r>
    </w:p>
    <w:p>
      <w:r>
        <w:t>FR: TI_GERICHTE 11.1999.80 du 17 mai 2000</w:t>
      </w:r>
    </w:p>
    <w:p>
      <w:r>
        <w:t>IT: TI_GERICHTE 11.1999.80 del 17 maggio 2000</w:t>
      </w:r>
    </w:p>
    <w:p>
      <w:pPr>
        <w:pStyle w:val="Heading2"/>
      </w:pPr>
      <w:r>
        <w:t>Regeste</w:t>
      </w:r>
    </w:p>
    <w:p>
      <w:r>
        <w:t>Sentenza o decisione senza scheda</w:t>
      </w:r>
    </w:p>
    <w:p>
      <w:pPr>
        <w:pStyle w:val="Heading2"/>
      </w:pPr>
      <w:r>
        <w:t>Erwägungen</w:t>
      </w:r>
    </w:p>
    <w:p>
      <w:r>
        <w:rPr>
          <w:b/>
        </w:rPr>
        <w:t>E. 2</w:t>
      </w:r>
    </w:p>
    <w:p>
      <w:r>
        <w:t>maggio 2000 in re D.D., consid. 3 con riferimenti); che, dandosi rinuncia a una quota di comproprietà, se libera da oneri tale quota va ad accrescere proporzionalmente le quote degli altri comproprietari (“consolidazione”), mentre se è gravata da oneri (diritti reali limitati o obbligazioni reali) essa continua a sussistere come tale e gli altri comproprietari ne divengono titolari in proporzione alla loro rispettiva quota sull'intero fondo ( Rey , op. cit., n. 9 ad art. 666 CC con rinvio a Meier-Hayoz in: Berner Kommentar, 3ª edizione, n. 71 ad art. 646 CC, e a Liver , Das Eigentum, in: Schweizerisches Privatrecht, vol. V/1, Basilea 1977, pag. 63); che quest'ultimo punto di vista non è unanimemente condiviso, Piotet ritenendo che pure la quota gravata da oneri vada ad accrescere per “consolidazione” le quote degli altri comproprietari proporzionalmente alla loro rispettiva quota sull'intero fondo (Nature et mutations des propriétés collectives, in: Abhandlungen zum schweizerischen Recht, vol. 528, Berna 1991, pag. 73 segg., in particolare pag. 74 n. 233); che nella fattispecie, comunque si opini al riguardo, l'ufficiale del registro fondiario ha accolto l'istanza presentata da __________ e ha iscritto __________ quale unico proprietario del fondo; che, contrariamente a una decisione con cui l'ufficiale del registro respinge una richiesta di iscrizione, un'iscrizione da egli eseguita non può formare oggetto di ricorso all'autorità di vigilanza (DTF 110 II 42 in basso e 43 in alto con richiami; Schmid , op. cit., n. 14 ad art. 956 CC; Steinauer , Les droits réels, vol. I, 3 a edizione, pag. 235 n. 851; Deschenaux , Das Grundbuch, in: Schweizerisches Privatrecht, vol. V/3,1, pag. 558); che in effetti, salvo consenso di tutti gli interessati, la modifica di un'iscrizione siffatta può avvenire solo seguendo la via della rettifica del registro fondiario ( art. 975–977 CC; Steinauer , loc. cit.); che in concreto non si vede perché tale azione non dovrebbe essere data, di modo che non soccorre nemmeno la possibilità di ricorrere eccezionalmente all'autorità di vigilanza contro l'avvenuta iscrizione, come prospetta Schöbi (Artikel 5 Absatz 3 des Bundesbeschlusses über eine Sperrfrist und die Folgen für das Grundbuchrecht, in: ZBJV 127/1991 pag. 336) e sostanzialmente approva Schnyder (in: Der bernische Notar 52/1991 pag. 247 lett. hh); che, in antitesi a quanto reputa il ricorrente, in concreto l'ufficiale del registro fondiario non può procedere a una rettifica d'ufficio, già per il fatto che questa toccherebbe l'essenza stessa del diritto iscritto (art. 99 RRF); che ciò posto, il ricorso si rivela inammissibile; che gli oneri processuali vanno a carico del ricorrente, i cui interessi pecuniari sono palesemente in gioco (art. 28 cpv. 1 lett. b e cpv. 2 LPAmm); che non si giustifica invece di attribuire ripetibili a __________, la quale non ha formulato osservazioni al ricorso; che per quanto riguarda la comunicazione dell'odierna sentenza, infine, essa deve avvenire anche all'Ufficio federale di giustizia, come stabilisce l'art. 102 cpv. 2 RRF, seppure tale prassi appaia oggi desueta in molti Cantoni ( Deschenaux , op. cit., pag. 201 in alto); pronuncia: 1.   Il ricorso è irricevibile. 2.   Gli oneri processuali, consistenti in: a) tassa di giustizia      fr. 250.– b) spese                         fr.   50.– fr. 300.– sono posti a carico del ricorrente. Non si assegnano ripetibili. 3.   Intimazione: – avv. __________, __________; – __________, __________. Comunicazione: –  Sezione del registro fondiario e di commercio quale autorità di vigilanza; –  Ufficio federale di giustizia. Per la prima Camera civile del Tribunale d'appello La presidente                                                        La segretaria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