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11.1998.96 vom 30. Juli 1999</w:t>
      </w:r>
    </w:p>
    <w:p>
      <w:r>
        <w:t>TI Tribunale d'appello, 1999-07-30, IT</w:t>
      </w:r>
    </w:p>
    <w:p>
      <w:r>
        <w:rPr>
          <w:b/>
        </w:rPr>
        <w:t xml:space="preserve">Quelle: </w:t>
      </w:r>
      <w:r>
        <w:t>https://mcp.opencaselaw.ch/entscheid/ti_gerichte_11.1998.96</w:t>
      </w:r>
    </w:p>
    <w:p>
      <w:r>
        <w:t>FR: TI_GERICHTE 11.1998.96 du 30 juillet 1999</w:t>
      </w:r>
    </w:p>
    <w:p>
      <w:r>
        <w:t>IT: TI_GERICHTE 11.1998.96 del 30 luglio 1999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19</w:t>
      </w:r>
    </w:p>
    <w:p>
      <w:r>
        <w:t>gennaio 1995, il Pretore aveva fissato infatti un contributo provvisionale di fr. 4250.– mensili che comprendeva anche il fabbisogno in denaro dei due figli. Nel giudizio impugnato egli si è limitato a sopprimere “l’obbligo di pagamento del contributo alimentare di fr. 800.– a favore del signor __________ __________ ” dopo il 1° luglio 1997 (dispositivo n. 11), senza stabilire però a quanto ammonta il nuovo contributo provvisionale per la moglie. 2. Il giudizio impugnato ha doppia natura: è un decreto cautelare in quanto disciplina il contributo provvisionale che l’attore deve versare alla moglie fino alla pronuncia della separazione (art. 145 cpv. 2 CC); è invece una sentenza di merito in quanto statuisce sul principio della separazione e sui relativi effetti accessori. La richiesta subordinata dell’appellante, intesa a ottenere un contributo di merito sin dal 1° luglio 1997, prima della sentenza di separazione (emanata il 25 maggio 1998), è giuridicamente improponibile, giacché un contributo di merito non può essere attribuito prima della separazione. L’unico problema consiste pertanto nel sapere, in concreto, a quanto ammonti il contributo provvisionale in favore della moglie a decorrere dal 1° luglio 1997, il mese successivo a quello in cui __________ __________ ha compiuto vent’anni. Che fino a quella data il marito dovesse assistere finanziariamente la moglie, la quale non aveva mezzi sufficienti per sostentare i propri figli, è fuori discussione (art. 278 cpv. 2 combinato con l’art. 277 cpv. 2 CC). E che per mantenere adeguatamente il figlio Andrea la moglie abbisognasse di fr. 800.– mensili è riconosciuto dai coniugi medesimi, tant’è che “l’importo è sempre stato praticato dalle parti” (sentenza impugnata, pag. 8 a metà). 3. Sul contributo provvisionale in favore della moglie dopo i vent’ anni del figlio __________ il primo giudice ha statuito come segue (dispositivo n. 11): (...) Il decreto cautelare del 6 dicembre 1994/19 gennaio 1995 è modificato nel senso che il signor __________ __________ è liberato dall’obbligo di pagamento del contributo alimentare di fr. 800.– a favore del signor __________ __________, e ciò retroattivamente a partire dal 1° luglio 1997. L’appellante non contesta che il marito dovesse essere esonerato dall’obbligo – indiretto – di mantenimento verso __________ __________ dopo il 1° luglio 1997. Non contesta nemmeno che la posta in gioco fosse di fr. 800.– mensili. Fa valere che il primo giudice non ha indicato concretamente a quanto ammontasse il nuovo contributo in suo favore dopo il 1° luglio 1997. A ragione, giacché il dispositivo predetto è fallace. Nel decreto cautelare del 6 dicembre 1994, esplicitamente accettato dal marito all’udienza del 19 gennaio 1995 (verbale nella rubrica verde dell’inc. __________.__________.__________), il primo giudice aveva stabilito in effetti un contributo alimentare di fr. 4250.– mensili in favore della moglie. Dal testo del dispositivo sembrerebbe evincersi così che dal 1° luglio 1997 tale importo debba essere ridotto di fr. 800.– (e ammonti perciò a fr. 3450.– mensili). In realtà le cose stanno altrimenti. 4. Il criterio per la definizione dei contributi alimentari ai fini dell’art. 145  cpv. 2 CC è disciplinato dal diritto federale e si fonda sul riparto dell’eccedenza – di regola a metà – una volta dedotto dal reddito familiare il fabbisogno personale dei coniugi e dei figli (DTF 114 II 31 consid. 7 e 8). I contributi provvisionali possono sempre essere modificati, a condizione che le circostanze considerate al momento della decisione siano mutate in maniera rilevante e duratura, oppure che le previsioni formulate in base alla situazione di quel momento non si siano avverate o si siano avverate soltanto in parte ( Hinderling/Steck , Das schwei-zerische Ehescheidungsrecht, Zurigo 1995, pag. 545, n. 77 con richiami di dottrina e giurisprudenza). Se ricorrono le premesse di una modifica, il giudice deve adattare i contributi provvisionali alle mutate circostanze, inserendo nel calcolo i nuovi elementi. Non può limitarsi ad accertare – come in concreto – che un elemento è cambiato, senza trarre conclusioni. Nel caso in esame occorre definire di conseguenza a quanto ammontasse il contributo provvisionale a carico del marito dopo il 1° luglio 1997, e ciò fino al 25 maggio 1998, data della separazione. Dopo di allora decorrono i contributi di merito fissati dal Pretore, non contestati. 5. I criteri applicabili alla fissazione dei contributi provvisionali a norma dell’art. 145 cpv. 2 CC sono per principio identici a quelli che disciplinano i contributi dopo la separazione, già per la circostanza che il matrimonio continua a sussistere ( Hinderling/ Steck , op. cit., pag. 268; Bühler/Spühler in: Berner Kommentar, Ergänzungsband 1991, n. 30 in fine agli art. 149–157 CC). E siccome i dati corrispondono a quelli cui ha fatto capo il Pretore per il primo periodo dopo la separazione (non contestati), il calcolo risulta il seguente: reddito del marito (sentenza, pag. 9 in alto)                   fr. 10 054.— reddito della moglie (sentenza, pag. 7 a metà)               fr.   2 300.— fr. 12 354.—  mensili fabbisogno minimo del marito (sentenza, pag. 9)            fr.   3 671.— fabbisogno minimo della moglie (sentenza, pag. 8): – fabbisogno proprio                          fr. 3 412.– – contributo al figlio __________         fr.    800.– fr. 4 212.–            fr.  4 212.— fabbisogno familiare                                                     fr.  7 883.— mensili eccedenza                                                                  fr. 4 471.—  mensili metà eccedenza                                                         fr.  2 235.50 mensili contributo per la moglie: fr. 4212.– + fr. 2235.50 ./. fr. 2300.– = fr.  4 147.50  mensili. Ciò posto, l’appello si rivela fondato e i dispostivi litigiosi del giudizio impugnato devono essere riformati di conseguenza. 6. Gli oneri del giudizio odierno, commisurati all’entità del litigio, seguono la soccombenza del marito (art. 148 cpv. 1 CPC). Visto l’esito dell’appello, si impone inoltre una modifica del dispositivo sulle spese e ripetibili di prima sede, che vanno per un ottavo a carico della convenuta e per il resto a carico dell’istante, tenuto a rifondere alla convenuta un’indennità ridotta per ripetibili (art. 148 cpv. 2 CPC). Per questi motivi, vista sulle spese anche la tariffa giudiziaria, pronuncia: I.   L’appello è accolto e il giudizio impugnato è così riformato: 10.   L’istanza del 17 ottobre 1997 intesa alla modifica dell’assetto provvisionale è parzialmente accolta. 11.   Di conseguenza il decreto cautelare del 6 dicembre 1994 è modificato nel senso che il contributo alimentare a favore di __________ __________ è fissato in fr. 4147.50 mensili dal 1° luglio 1997. 12.   La tassa di giustizia e le spese di fr. 200.– sono poste per un ottavo a carico della convenuta e per il resto a carico dell’istante, che rifonderà alla convenuta fr. 440.– per ripetibili ridotte. II.   Gli oneri processuali, consistenti in: a) tassa di giustizia      fr. 250.– b) spese                         fr. 50.– fr. 300.– sono posti a carico di __________ __________, che rifonderà all’appel-lante fr. 700.– per ripetibili di appello. III.   Intimazione: – avv. __________ __________, __________; – avv. __________ __________, __________. Comunicazione alla Pretura di Lugano, sezione 6. Per la prima Camera civile del Tribunale d’appello La presidente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