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11.1998.62 vom 29. Dezember 1999</w:t>
      </w:r>
    </w:p>
    <w:p>
      <w:r>
        <w:t>TI Tribunale d'appello, 1999-12-29, IT</w:t>
      </w:r>
    </w:p>
    <w:p>
      <w:r>
        <w:rPr>
          <w:b/>
        </w:rPr>
        <w:t xml:space="preserve">Quelle: </w:t>
      </w:r>
      <w:r>
        <w:t>https://mcp.opencaselaw.ch/entscheid/ti_gerichte_11.1998.62</w:t>
      </w:r>
    </w:p>
    <w:p>
      <w:r>
        <w:t>FR: TI_GERICHTE 11.1998.62 du 29 décembre 1999</w:t>
      </w:r>
    </w:p>
    <w:p>
      <w:r>
        <w:t>IT: TI_GERICHTE 11.1998.62 del 29 dicembre 1999</w:t>
      </w:r>
    </w:p>
    <w:p>
      <w:pPr>
        <w:pStyle w:val="Heading2"/>
      </w:pPr>
      <w:r>
        <w:t>Regeste</w:t>
      </w:r>
    </w:p>
    <w:p>
      <w:r>
        <w:t>Sentenza o decisione senza scheda</w:t>
      </w:r>
    </w:p>
    <w:p>
      <w:pPr>
        <w:pStyle w:val="Heading2"/>
      </w:pPr>
      <w:r>
        <w:t>Erwägungen</w:t>
      </w:r>
    </w:p>
    <w:p>
      <w:r>
        <w:rPr>
          <w:b/>
        </w:rPr>
        <w:t>E. 2</w:t>
      </w:r>
    </w:p>
    <w:p>
      <w:r>
        <w:t>Il diritto italiano è applicabile alla fattispecie in virtù dei combinati disposti degli art. 61 cpv. 2, 63 cpv. 2, 49 LDIP e 8 cpv. 1 della Convenzione dell'Aja del 2 ottobre 1973 sul diritto applicabile alle obbligazioni alimentari (RS 0.211.213.01), in vigore per la Svizzera dal 1° ottobre 1977 e per l'Italia dal 1° gennaio 1982. Secondo l'ordinamento giuridico italiano, con la sentenza che pronuncia lo scioglimento o la cessazione degli effetti civili del matrimonio, il tribunale, tenuto conto delle condizioni dei coniugi, delle ragioni della decisione, del contributo personale ed economico dato da ciascuno alla conduzione familiare ed alla formazione del patrimonio di ciascuno o di quello comune, del reddito di entrambi, e valutati tutti i suddetti elementi anche in rapporto alla durata del matrimonio, dispone l'obbligo per un coniuge di somministrare periodicamente a favore dell'altro un assegno quando quest'ultimo non ha mezzi adeguati o comunque non può procurarseli per ragioni oggettive (art. 5 cpv. 6 della legge n. 898 del 1° dicembre 1970 sulla disciplina dei casi di scioglimento del matrimonio). a) La giurisprudenza ha già avuto modo di precisare che, in seguito alla modifica della predetta disposizione avvenuta nel 1987 (art. 10 della legge n. 74 del 6 marzo 1987), l'assegno di divorzio ha assunto un carattere esclusivamente assistenziale (Corte di cassazione civile, sentenza n. 7199 del 5 agosto 1997). Presupposto indispensabile per la concessione dell'assegno appare dunque l'inadeguatezza dei mezzi a disposizione del coniuge richiedente ( Pantaleoni in: Separazione, divorzio, annullamento del matrimonio, Torino 1999, pag. 321 in mezzo). La mancanza di tale requisito – il quale dev'essere accertato in via preliminare – impedisce al giudice ogni esame inerente agli altri criteri normativi, che sono destinati esclusivamente alla quantificazione del contributo (Corte di cassazione civile, sentenze n. __________del 29 marzo 1994, n. __________del 12 marzo 1992, n. __________del 29 dicembre 1990). Ne discende che l'assegno di divorzio dev'essere negato ove sia richiesto solo sulla base di premesse diverse dall'inadeguatezza dei mezzi (Corte di cassazione civile, sentenza n. __________del 27 novembre 1992; Pantaleoni, op. cit., pag. 321 in fondo). b) La nozione di adeguatezza dei mezzi dev'essere invero interpretata nell'ampio senso di garantire il coniuge più debole contro il deterioramento delle condizioni economiche godute durante il matrimonio (Corte di cassazione civile, sentenza n. __________del 20 dicembre 1995), e ha fra l'altro la funzione di ristabilire un certo equilibrio tra le rispettive posizioni economiche dei coniugi (Corte di cassazione civile, sentenza n. __________del 1° dicembre 1993). L'attribuzione dell'assegno divorzile non risponde invece ad alcun interesse pubblico e non rientra pertanto nel novero dei poteri d'ufficio del giudice (Corte di cassazione civile, sentenza n. __________del 26 giugno 1991). L'accoglimento della domanda presuppone dunque la prova da parte del richiedente della mancanza di mezzi economici da un lato, e del tenore di vita goduto in costanza di matrimonio dall'altro (Corte di cassazione civile, sentenza del 5 agosto 1997, citata). Per valutare l'adeguatezza dei mezzi occorre tener conto non soltanto dei redditi lavorativi, ma anche dei cespiti patrimoniali e delle altre utilità di cui il coniuge richiedente può disporre (Corte di cassazione civile, sentenza n. __________del 29 ottobre 1996).</w:t>
      </w:r>
    </w:p>
    <w:p>
      <w:r>
        <w:rPr>
          <w:b/>
        </w:rPr>
        <w:t>E. 3</w:t>
      </w:r>
    </w:p>
    <w:p>
      <w:r>
        <w:t>Nella fattispecie il Pretore ha ritenuto che la convenuta subirà un deterioramento apprezzabile della propria posizione economica in seguito al divorzio, a causa della perdita della rendita completiva d'invalidità concessale dal 1° settembre 1992 (decisione</w:t>
      </w:r>
    </w:p>
    <w:p>
      <w:r>
        <w:rPr>
          <w:b/>
        </w:rPr>
        <w:t>E. 8</w:t>
      </w:r>
    </w:p>
    <w:p>
      <w:r>
        <w:t>febbraio 1995 dell'Ufficio dell'assicurazione invalidità per gli assicurati residenti all'estero, doc. I nel fascicolo VII dell'incarto). Dal fascicolo processuale non emerge tuttavia alcun dato concreto sulla situazione finanziaria della moglie, in particolare per quanto riguarda il provento della sua attività di rammendatrice, il reddito della sua sostanza immobiliare e altre eventuali entrate. La convenuta si è limitata ad affermare che "come rammendatrice, ha un salario di circa fr. 1300.– mensili. Ha 56 anni; ha pertanto superato il limite di età per il pensionamento che, in Italia, per le donne è di 55 anni. Dovrà cessare il suo lavoro il prossimo novembre, con una pensione che probabilmente non raggiungerà fr. 500.– al mese" (memoriale del 27 febbraio 1997, punto 4 pag. 2 in basso), senza tuttavia fornire il benché minimo elemento a comprova delle proprie allegazioni. Invano si cercherebbe inoltre negli atti di causa qualsiasi riferimento in merito al fabbisogno minimo di lei. 4. Di fronte alla più totale carenza di prove non si può dunque escludere che la perdita della rendita mensile di fr. 475.– possa essere compensata da altre entrate o da una corrispondente diminuzione del fabbisogno della moglie, fors'anche poco probabili vista l'età e la formazione professionale di quest'ultima, ma non perciò inverosimili. Basti rilevare che al suo interrogatorio formale del 25 novembre 1997 la convenuta ha ammesso che "a __________ avevo una casa che ho venduto dando il ricavato a __________ __________, mio figlio. Mi sembra che il ricavato della vendita sia stato di lit. 160 milioni” (verbale del 25 novembre 1997, risposta 1 pag. 2 in alto). Non avendo fatto fronte all'onere probatorio che le incombeva secondo la predetta giurisprudenza della Corte di cassazione civile italiana (sentenze del 26 giugno 1991 e del 5 agosto 1997 citate), la convenuta non può dunque pretendere dal marito alcun assegno che sopperisca alla cessazione della rendita completiva d'invalidità. Nelle circostanze descritte l'appello si dimostra fondato e la sentenza del Pretore dev'essere riformata di conseguenza. Ciò rende superfluo esaminare le altre argomentazioni addotte dall’appellante in relazione ai suoi redditi. 5. Gli oneri processuali sono posti a carico della moglie (art. 148 cpv. 1 CPC), che rifonderà all'appellante un'adeguata indennità per ripetibili. L'esito dell'attuale giudizio impone di riformare anche il dispositivo sulle spese e le ripetibili di prima sede, la moglie risultando soccombente sia sul principio del divorzio sia sulle conseguenze accessorie del medesimo. Per questi motivi, vista sulle spese anche la tariffa giudiziaria, pronuncia: I.   L’appello è accolto e la sentenza impugnata è così riformata: 2. A __________ __________ non è dovuto alcun contributo alimentare. 3. La tassa di giustizia di fr. 1000.– e le spese sono poste a carico della moglie, con obbligo di rifondere al marito fr. 2000.– per ripetibili. Per il resto la sentenza impugnata è confermata. II.   Gli oneri processuali, consistenti in: a) tassa di giustizia      fr. 450.– b) spese                         fr.   50.– fr. 500.– sono posti a carico di __________ __________, che rifonderà all'appellante fr. 1000.– per ripetibili d'appello. III.   Intimazione a: – avv. __________ __________, __________; – avv. dott.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