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11.1998.45 vom 9. Juni 1999</w:t>
      </w:r>
    </w:p>
    <w:p>
      <w:r>
        <w:t>TI Tribunale d'appello, 1999-06-09, IT</w:t>
      </w:r>
    </w:p>
    <w:p>
      <w:r>
        <w:rPr>
          <w:b/>
        </w:rPr>
        <w:t xml:space="preserve">Quelle: </w:t>
      </w:r>
      <w:r>
        <w:t>https://mcp.opencaselaw.ch/entscheid/ti_gerichte_11.1998.45</w:t>
      </w:r>
    </w:p>
    <w:p>
      <w:r>
        <w:t>FR: TI_GERICHTE 11.1998.45 du 9 juin 1999</w:t>
      </w:r>
    </w:p>
    <w:p>
      <w:r>
        <w:t>IT: TI_GERICHTE 11.1998.45 del 9 giugno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L’art. 928 CC conferisce al possessore turbato nel suo possesso da un atto di illecita violenza la facoltà di chiedere al giudice la cessazione della turbativa, il divieto di turbative ulteriori e il risarcimento dei danni. L’azione deve essere accolta ogni qual volta si riscontri una turbativa del possesso dovuta ad un atto di illecita violenza ( Steinauer , Les droits réels, vol. I, 3 a edizione pag. 101 n. 365; Stark in, Berner Kommentar, n. 2 ad art. 929 CC; Homberger in: Zürcher Kommentar, n. 13 ad art. 928 CC). 1997). Quest’ultimo non deve necessariamente costituire un atto di forza: basta che sia compiuto a pregiudizio e contro la volontà del possessore ( Stark op. cit., n. 22 all’introduzione degli art. 926–929 CC con richiami). Né una turbativa del possesso deve riferirsi necessariamente a immissioni materiali: atti che turbano indirettamente il possesso – come le immissioni foniche, di fumo ecc. – sono sufficienti ( Steinauer , op. cit., pag. 101 n. 367).</w:t>
      </w:r>
    </w:p>
    <w:p>
      <w:r>
        <w:rPr>
          <w:b/>
        </w:rPr>
        <w:t>E. 3</w:t>
      </w:r>
    </w:p>
    <w:p>
      <w:r>
        <w:t>Nel caso concreto gli istanti riaffermano che la turbativa consiste nella posa di una canna fumaria sporgente sulla loro proprietà. Che l’opera in questione invada la corte degli appellanti è pacifico (fotografie doc. C; verbale di sopralluogo del 26 settembre 1995). I convenuti medesimo ammettono ciò (risposta, pag. 1 in fondo), senza pretendere che i vicini abbiano mai dato il loro consenso. Dall’istruttoria è emerso inoltre che il funzionamento della canna fumaria provoca continui e fastidiosi rumori durante tutto l’anno, sia di giorno sia di notte (deposizione __________ __________). Tenuto conto che in questioni di vicinato la persona turbata nel suo possesso è legittimata a chiedere l’eliminazione della turbativa senza dover provare un interesse particolare o un danno effettivo ( Stark op. cit., n. 20 all’introduzione degli art. 926–929 e n. 19 ad art. 928 CC; Rep. 1981 pag. 345, 1962 pag. 61), nel caso specifico la turbativa del possesso appare evidente già a un primo esame. Né può ravvisarsi abuso degli istanti nel chiedere l’eliminazione della sporgenza. Mai essi – né i convenuti asseriscono il contrario – hanno tollerato la sporgenza o hanno indotto i convenuti a confidare nell’accettazione dello stato di fatto, né la loro richiesta appare senza alcun interesse o meramente vessatoria. Sapere se la canna non potesse essere posata altrimenti è un problema che andrà esaminato, se mai, nell’ambito di un’eventuale azione di merito. E ciò non giustificherebbe, in ogni modo, immissioni foniche moleste. Ciò posto, l’appello, manifestamente fondato, deve essere accolto e la decisione del Pretore modificata di conseguenza.</w:t>
      </w:r>
    </w:p>
    <w:p>
      <w:r>
        <w:rPr>
          <w:b/>
        </w:rPr>
        <w:t>E. 4</w:t>
      </w:r>
    </w:p>
    <w:p>
      <w:r>
        <w:t>Gli oneri processuali seguirebbero la soccombenza (art. 148 cpv. 1 CPC). I convenuti tuttavia non si sono costituti in appello e in questa sede non possono dunque essere ritenuti soccombente (analogamente: DTF del 5 maggio 1997 in re C., consid. 5). Quanto allo Stato del Cantone Ticino, esso non è parte in causa e non può essere tenuto ad alcuna prestazione (sulla nozione di parte: Poudret , Commentaire de la loi fédérale d’organisation judiciaire, vol. V, Berna 1992, nota 2 ad art. 156 e nota 1 ad art. 159). Non rimane perciò che soprassedere al prelievo di spese e rinunciare all’attribuzione di ripetibili. Per quel che riguarda i costi della prima sede, essi sono posti a carico dei convenuti, soccombenti, con obbligo di rifondere agli istanti un’equa indennità per ripetibili. Per questi motivi, vista sulle spese anche la tariffa giudiziaria, pronuncia: I.   L’appello è accolto e la sentenza impugnata è così riformata: 1. __________ e __________ __________ sono tenuti a rimuovere immediatamente la canna fumaria in acciaio posta sulla parete esterna del loro stabile sulla particella n. __________di __________, sporgente sull’adiacente particella n. __________, proprietà __________ e __________ __________. 2. La tassa di giustizia di fr. 400.– e le spese, da anticipare dagli istanti, sono poste a carico dei convenuti, che rifonderanno agli istanti fr. 500.– per ripetibili . II.   Non si riscuotono tasse o spese né si assegnano ripetibili. III.   Intimazione a: – avv. dott. __________ __________ __________, __________ – __________ __________ e __________ __________, __________ Comunicazione alla Pretura del Distretto di Lugano, sezione 2.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