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11.1998.37 vom 8. April 1998</w:t>
      </w:r>
    </w:p>
    <w:p>
      <w:r>
        <w:t>TI Tribunale d'appello, 1998-04-08, IT</w:t>
      </w:r>
    </w:p>
    <w:p>
      <w:r>
        <w:rPr>
          <w:b/>
        </w:rPr>
        <w:t xml:space="preserve">Quelle: </w:t>
      </w:r>
      <w:r>
        <w:t>https://mcp.opencaselaw.ch/entscheid/ti_gerichte_11.1998.37</w:t>
      </w:r>
    </w:p>
    <w:p>
      <w:r>
        <w:t>FR: TI_GERICHTE 11.1998.37 du 8 avril 1998</w:t>
      </w:r>
    </w:p>
    <w:p>
      <w:r>
        <w:t>IT: TI_GERICHTE 11.1998.37 del 8 aprile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50</w:t>
      </w:r>
    </w:p>
    <w:p>
      <w:r>
        <w:t>fr. 300.– sono posti a carico dell’appellante. Non si assegnano ripetibili. 3.   Intimazione: – avv. __________ __________, __________; – Municipio del Comune di __________. Comunicazione alla Pretura del Distretto di Lugano, sezione 1. Per la prima Camera civile del Tribunale d’appello La presidente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