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11.1998.22 vom 12. Mai 1999</w:t>
      </w:r>
    </w:p>
    <w:p>
      <w:r>
        <w:t>TI Tribunale d'appello, 1999-05-12, IT</w:t>
      </w:r>
    </w:p>
    <w:p>
      <w:r>
        <w:rPr>
          <w:b/>
        </w:rPr>
        <w:t xml:space="preserve">Quelle: </w:t>
      </w:r>
      <w:r>
        <w:t>https://mcp.opencaselaw.ch/entscheid/ti_gerichte_11.1998.22</w:t>
      </w:r>
    </w:p>
    <w:p>
      <w:r>
        <w:t>FR: TI_GERICHTE 11.1998.22 du 12 mai 1999</w:t>
      </w:r>
    </w:p>
    <w:p>
      <w:r>
        <w:t>IT: TI_GERICHTE 11.1998.22 del 12 maggio 1999</w:t>
      </w:r>
    </w:p>
    <w:p>
      <w:pPr>
        <w:pStyle w:val="Heading2"/>
      </w:pPr>
      <w:r>
        <w:t>Regeste</w:t>
      </w:r>
    </w:p>
    <w:p>
      <w:r>
        <w:t>Sentenza o decisione senza scheda</w:t>
      </w:r>
    </w:p>
    <w:p>
      <w:pPr>
        <w:pStyle w:val="Heading2"/>
      </w:pPr>
      <w:r>
        <w:t>Erwägungen</w:t>
      </w:r>
    </w:p>
    <w:p>
      <w:r>
        <w:rPr>
          <w:b/>
        </w:rPr>
        <w:t>E. 2</w:t>
      </w:r>
    </w:p>
    <w:p>
      <w:r>
        <w:t>Ci si potrebbe chiedere se nella fattispecie, come fa valere __________ __________ nelle osservazioni a questa Camera, l’appel-lante insieme con __________ __________ e lei medesima costituiscano un litisconsorzio necessario (art. 41 CPC), sicché il ricorso introdotto dalla sola appellante contro la volontà di lei debba essere dichiarato inammissibile. Il quesito, invero delicato, può rimanere aperto. Come si vedrà oltre, in effetti, l’appello è destinato all’insuccesso quand’anche fosse ricevibile così com’è stato presentato. Approfondire la questione della proponibilità non sarebbe pertanto di alcun giovamento.</w:t>
      </w:r>
    </w:p>
    <w:p>
      <w:r>
        <w:rPr>
          <w:b/>
        </w:rPr>
        <w:t>E. 3</w:t>
      </w:r>
    </w:p>
    <w:p>
      <w:r>
        <w:t>Intanto, nella misura in cui l’appellante contesta di dovere apportare nella successione fr. 40’000.–, il ricorso si dimostra irricevibile già per un altro motivo. Dall’inventario allestito dal notaio divisore risulta in effetti che la pretesa dell’attrice intesa a far inserire un credito di fr. 40’000.– a favore della defunta e a carico di __________ __________ è stata contestata dagli altri eredi (brevetto n. __________, pag. 4 punto V, nell’inc. n. __________/__________richiamato). Ora, dandosi contestazioni d’inventario il Pretore assegna alla parte la cui domanda è contestata un termine di venti giorni per proporne il riconoscimento con la procedura accelerata (art. 479 cpv. 1 CPC). Invano si cercherebbe nella petizione di __________ __________, tuttavia, una domanda intesa a far accertare la pretesa di fr. 40’000.– da inserire in debito di __________ __________. La domanda non avendo formato oggetto della causa, la relativa pretesa è perenta (art. 479 cpv. 2 CPC) e non può, di conseguenza, essere deferita di appello.</w:t>
      </w:r>
    </w:p>
    <w:p>
      <w:r>
        <w:rPr>
          <w:b/>
        </w:rPr>
        <w:t>E. 4</w:t>
      </w:r>
    </w:p>
    <w:p>
      <w:r>
        <w:t>Si potrebbe supporre, al limite, che la domanda dell’appellante volta a far inserire un debito di fr. 5’000.– nell’inventario sia intesa alla modifica del dispositivo n. 1.3 con cui il Pretore ha ordinato di iscrivere nell’inventario un credito della successione verso l’appellante pari al valore della particella n. __________RFD di __________. Quand’anche ciò fosse, però, l’appello sarebbe ugualmente irricevibile. Il dispositivo n. 1.3 del decreto impugnato si limita a riprendere, invero, quanto il Pretore aveva già disposto con sentenza del 13 giugno 1990 passata in giudicato (consid. A). E siccome la nozione di cosa giudicata è un concetto di diritto federale (DTF 125 III 10 consid. 3), che come tale va applicato d’ufficio (art. 87 cpv. 1 CPC), l’appellante non può più rimettere in discussione la relativa posta dell’inventario nell’at-tuale sede.</w:t>
      </w:r>
    </w:p>
    <w:p>
      <w:r>
        <w:rPr>
          <w:b/>
        </w:rPr>
        <w:t>E. 5</w:t>
      </w:r>
    </w:p>
    <w:p>
      <w:r>
        <w:t>Del resto, si volesse anche – per ipotesi – fare astrazione dal passaggio in giudicato della predetta sentenza, il ricorso non seguirebbe miglior sorte. Dal fascicolo processuale risulta infatti che l’11 settembre 1978 __________ __________ ha donato come anticipo ereditario la particella n. __________RFD di __________ alla figlia __________, che nel mese di gennaio 1979 l’ha ceduta al fratello __________ (doc. C e E dell’inc. n. __________/__________richiamato). Nel corso del 1981 __________ __________ ha regalato inoltre fr. 40’000.– alla figlia __________ (doc. E; interrogatorio formale __________ __________, risposta n. 2), sebbene quest’ultima sostenga di avere ricevuto unicamente fr. 5’000.–. Ora, non può essere seriamente revocato in dubbio che il valore del fondo n. __________ricevuto in donazione dall’appellante nel 1978 costituisca un anticipo ereditario e debba figurare quindi negli attivi della successione. Contrariamente a quanto opina l’appellante, il valore di tale fondo non può essere posto a carico del coerede __________ già per il fatto che, come ha precisato del Pretore, beneficiaria della donazione a titolo di anticipo ereditario era la figlia __________, di modo la successiva donazione da sorella a fratello è estranea alla successione. Dagli atti non risulta neppure che la donazione tra fratelli sia avvenuta su esplicita richiesta dalla madre con la promessa, all’ appellante, di ricevere fr. 40’000.–. Anzitutto dalla decisione 14 agosto 1981 dell’Ufficio imposte di successione e donazione (doc. E) si evince che l’appellante è stata beneficiata di due liberalità: l’una di fr. 40’000.– e l’altra di fr. 39’227.– (corrispondente al valore di stima della particella n. __________). Quanto alla dichiarazione rilasciata durante l’interrogatorio formale, essa non basta sicuramente – da sola – per smentire una tassazione formalmente passata in giudicato. Inoltre dal brevetto del notaio __________ __________ non consta – come detto (consid. 3) – che l’attrice abbia proposto di inserire l’importo di fr. 40’000.– percepito dall’appel-lante in sostituzione della particella n. __________, né dalla domanda n. 2 dell’interrogatorio formale si desume tale eventualità. Nelle circostanze descritte l’appello si rivela, comunque sia, privo di buon diritto e deve essere respinto.</w:t>
      </w:r>
    </w:p>
    <w:p>
      <w:r>
        <w:rPr>
          <w:b/>
        </w:rPr>
        <w:t>E. 6</w:t>
      </w:r>
    </w:p>
    <w:p>
      <w:r>
        <w:t>Gli oneri processuali sono posti a carico dell’appellante (art. 148 cpv. 1 CPC), che rifonderà alle controparti un’adeguata indennità per ripetibili, commisurata all’impegno profuso dai rispettivi patrocinatori. Per questi motivi, vista sulle spese anche la tariffa giudiziaria, pronuncia: 1.   Nella misura in cui è ricevibile, l’appello è respinto e la sentenza impugnata è confermata. 2.   Gli oneri processuali, consistenti in a) tassa di giustizia      fr.  250.– b) spese                         fr.    50.– fr.  300.– sono posti a carico dell’appellante, che rifonderà a __________ __________ fr. 250.– e __________ __________ fr. 100.– per ripetibili di appello. 3.   Intimazione a: – avv. __________ __________, __________; – avv. __________ __________, __________; – avv. __________ __________, __________; – __________ __________, __________. Comunicazione alla Pretura del Distretto di Bellinzona.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