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11.1998.192 vom 20. März 2000</w:t>
      </w:r>
    </w:p>
    <w:p>
      <w:r>
        <w:t>TI Tribunale d'appello, 2000-03-20, IT</w:t>
      </w:r>
    </w:p>
    <w:p>
      <w:r>
        <w:rPr>
          <w:b/>
        </w:rPr>
        <w:t xml:space="preserve">Quelle: </w:t>
      </w:r>
      <w:r>
        <w:t>https://mcp.opencaselaw.ch/entscheid/ti_gerichte_11.1998.192</w:t>
      </w:r>
    </w:p>
    <w:p>
      <w:r>
        <w:t>FR: TI_GERICHTE 11.1998.192 du 20 mars 2000</w:t>
      </w:r>
    </w:p>
    <w:p>
      <w:r>
        <w:t>IT: TI_GERICHTE 11.1998.192 del 20 marzo 2000</w:t>
      </w:r>
    </w:p>
    <w:p>
      <w:pPr>
        <w:pStyle w:val="Heading2"/>
      </w:pPr>
      <w:r>
        <w:t>Regeste</w:t>
      </w:r>
    </w:p>
    <w:p>
      <w:r>
        <w:t>Sentenza o decisione senza scheda</w:t>
      </w:r>
    </w:p>
    <w:p>
      <w:pPr>
        <w:pStyle w:val="Heading2"/>
      </w:pPr>
      <w:r>
        <w:t>Erwägungen</w:t>
      </w:r>
    </w:p>
    <w:p>
      <w:r>
        <w:rPr>
          <w:b/>
        </w:rPr>
        <w:t>E. 2</w:t>
      </w:r>
    </w:p>
    <w:p>
      <w:r>
        <w:t>Il Pretore ha ritenuto che la larghezza di 2.50 m prevista dalla servitù di passo non va misurata dal confine tra i due fondi con la strada comunale, poiché dalla sentenza 25 aprile 1997 risultava che il passo doveva essere esercitato sulla strada esistente. Egli, dopo avere accertato che con la costruzione del muretto a confine tra le due proprietà la larghezza del passo si riduce di 1.45 m e che il primo pilastrino della “sostra” restringe il passaggio a 2.13 m, ha ordinato al convenuto di eliminare tali manufatti in modo da non ostacolare l'accesso veicolare. Il convenuto sostiene nell'appello che la sentenza 25 aprile 1997 stabilisce soltanto, senza peraltro alcuna planimetria ufficiale, una servitù di passo necessaria su una larghezza di 2.50 m dal confine della strada comunale e che egli si è attenuto a quanto previsto da tale sentenza, senza limitare il diritto di passo a favore dei convenuti.</w:t>
      </w:r>
    </w:p>
    <w:p>
      <w:r>
        <w:rPr>
          <w:b/>
        </w:rPr>
        <w:t>E. 3</w:t>
      </w:r>
    </w:p>
    <w:p>
      <w:r>
        <w:t>La protezione del possesso è intesa alla tutela di uno stato di fatto: l'esito di un'azione di manutenzione vertente tra il proprietario di un fondo gravato di servitù e il beneficiario della stessa dipende quindi, in linea di principio, dal modo in cui tale servitù è stata concretamente esercitata fino al momento della turbativa ( Stark , op. cit., n. 5 ad art. 928 CC). L'interpretazione dell'atto costitutivo della servitù è invece un problema di diritto, estraneo alla natura di un'azione possessoria ( Stark , op. cit., nota 92 dell'introduzione agli art. 926-929 CC). Resta il fatto che il giudice di un'azione possessoria non può valutare gli estremi di un'illecita violenza senza considerare il rapporto giuridico tra le parti. A tal fine occorre però che la situazione sia chiara. La procedura possessoria ha natura meramente sommaria (art. 374 CPC) e non deve sostituirsi all'azione di merito (I CCA, sentenza del 7 marzo 1996, nella causa I. SA, massima pubblicata in: Bollettino dell'Ordine degli avvocati n. 14, pag. 3 segg.; sentenze del 22 dicembre 1997 nella causa G. e dell'8 aprile 1998 nella causa __________ __________).</w:t>
      </w:r>
    </w:p>
    <w:p>
      <w:r>
        <w:rPr>
          <w:b/>
        </w:rPr>
        <w:t>E. 4</w:t>
      </w:r>
    </w:p>
    <w:p>
      <w:r>
        <w:t>In concreto risulta dagli atti che con sentenza 25 aprile 1997 il Pretore ha ordinato l'iscrizione di una servitù di passo veicolare a carico della particella n. __________ e a favore della n. __________“da esercitarsi su una striscia larga 2.5 m e lunga 15 m a confine con la strada __________ ” (inc. __________/__________, richiamato). Nel quadro dell'attuale causa il convenuto si è opposto all'azione muovendo contestazioni sul modo di misurare la larghezza della servitù. Ora, quanto dispone la citata sentenza non è molto preciso, né è dato di capire da quale punto debba essere misurata la larghezza del passo. Comunque sia, e come si è visto, nell'ambito di un'azione possessoria questioni di merito possono essere esaminate solo sommariamente, a titolo semplicemente pregiudiziale (I CCA, sentenza del 22 dicembre 1997 nella causa A. SA e G. c. M.). A un giudizio meramente sommario, in concreto il diritto di passo a favore del fondo n. __________RFD sembra estendersi a tutta la larghezza della via che è delimitata verso la strada __________ da un alto muro di sostegno (fotografie I e IV, inc. n. __________/__________) a 75 cm dal confine con la strada pubblica (verbale di sopralluogo del 21 settembre 1998, planimetria doc. 1). Non è contestato inoltre che per raggiungere la loro proprietà gli istanti devono necessariamente passare da tale stradina, che collega il fondo alla pubblica via (fotografie I, III, III e IV scattate durante il sopralluogo del 12 dicembre 1995 nell'incarto __________/__________, richiamato). L'istruttoria ha dimostrato dipoi che tra il muretto edificato a confine dal convenuto dopo la sentenza del 25 aprile 1997 (fotografia II, verbale di sopralluogo del 21 settembre 1998) e la ringhiera sul muro di sostegno la larghezza del passaggio è ridotta a 1.45 m, mentre all'imbocco della stradina la distanza tra il pilastrino della “sostra“ posta sul fondo del convenuto e il segno di confine in sasso della strada pubblica è di 2.13 m (verbale di sopralluogo del 22 settembre 1998 e fotografie annesse, in particolare V). Risulta perciò che il convenuto ha ridotto il calibro della stradina gravata dalla servitù di passo, ciò che costituisce una turbativa nell'esercizio della servitù. Del resto l'appellante medesimo ha ammesso che ora il diritto di passo veicolare non è esercitabile e che dopo la costruzione del muro l'accesso veicolare alla casa degli istanti non è più possibile (interrogatorio formale del 7 settembre 1998 risposta n. 1). Tutto ciò posto, si deve concludere – almeno a un sommario esame della fattispecie – che gli istanti hanno reso verosimile una turbativa dell'esercizio della servitù. Ne discende che l'appello si rivela infondato e deve essere respinto.</w:t>
      </w:r>
    </w:p>
    <w:p>
      <w:r>
        <w:rPr>
          <w:b/>
        </w:rPr>
        <w:t>E. 5</w:t>
      </w:r>
    </w:p>
    <w:p>
      <w:r>
        <w:t>Nell'appello il convenuto contesta altresì l'ammontare delle ripetibili poste a suo carico dal Pretore, ma omette di indicare a quanto dovrebbero essere ridotte. Tale formulazione, del tutto indeterminata, non risponde alle esigenze dell'art. 309 cpv. 2 lett. e CPC (Rep. 1993 pag. 227), di modo che su questo punto l'appello si rivela irricevibile (art. 309 cpv. 5 CPC).</w:t>
      </w:r>
    </w:p>
    <w:p>
      <w:r>
        <w:rPr>
          <w:b/>
        </w:rPr>
        <w:t>E. 6</w:t>
      </w:r>
    </w:p>
    <w:p>
      <w:r>
        <w:t>Gli oneri processuali seguono la soccombenza (art. 148 cpv.1 CPC). L'appellante rifonderà alla controparte, inoltre, un'equa indennità per ripetibili. Per questi motivi, vista sulle spese anche la tariffa giudiziaria, pronuncia: 1.   Nella misura in cui è ricevibile, l'appello è respinto e la sentenza impugnata è confermata. 2.   Gli oneri processuali, consistenti in: a) tassa di giustizia      fr. 300.– b) spese                         fr.   50.– fr. 350.– sono posti a carico dell'appellante, che rifonderà alla controparte fr. 600.– per ripetibili. 3.   Intimazione a: – avv. __________ __________, __________; – avv. __________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