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11.1998.128 vom 23. Juli 1998</w:t>
      </w:r>
    </w:p>
    <w:p>
      <w:r>
        <w:t>TI Tribunale d'appello, 1998-07-23, IT</w:t>
      </w:r>
    </w:p>
    <w:p>
      <w:r>
        <w:rPr>
          <w:b/>
        </w:rPr>
        <w:t xml:space="preserve">Quelle: </w:t>
      </w:r>
      <w:r>
        <w:t>https://mcp.opencaselaw.ch/entscheid/ti_gerichte_11.1998.128_d19980723</w:t>
      </w:r>
    </w:p>
    <w:p>
      <w:r>
        <w:t>FR: TI_GERICHTE 11.1998.128 du 23 juillet 1998</w:t>
      </w:r>
    </w:p>
    <w:p>
      <w:r>
        <w:t>IT: TI_GERICHTE 11.1998.128 del 23 luglio 1998</w:t>
      </w:r>
    </w:p>
    <w:p>
      <w:pPr>
        <w:pStyle w:val="Heading2"/>
      </w:pPr>
      <w:r>
        <w:t>Regeste</w:t>
      </w:r>
    </w:p>
    <w:p>
      <w:r>
        <w:t>Sentenza o decisione senza scheda</w:t>
      </w:r>
    </w:p>
    <w:p>
      <w:pPr>
        <w:pStyle w:val="Heading2"/>
      </w:pPr>
      <w:r>
        <w:t>Erwägungen</w:t>
      </w:r>
    </w:p>
    <w:p>
      <w:r>
        <w:rPr>
          <w:b/>
        </w:rPr>
        <w:t>E. 4</w:t>
      </w:r>
    </w:p>
    <w:p>
      <w:r>
        <w:t>In concreto il carattere propter rem dell’azione tendente all’iscri-zione di una servitù fondata sull’art. 674 cpv. 3 CC, indiscutibile ( Rey in: Kommentar zum schweizerischen Privatrecht, ZGB II, Basilea 1998, n. 9 ad art. 674 CC; Steinauer, Les droits réels, vol. II, 2ª edizione, pag. 86 in alto n. 1660; Meyer-Hayoz in: Berner Kommentar, 3ª edizione, n. 56 ad art. 674 CC), è riconosciuto dagli appellanti (memoriale, punto 4, pag. 2 in basso). E questa Camera ha recentemente avuto modo di rilevare che obbligazioni propter rem possono essere fatte valere davanti al giudice del luogo di situazione dell’immobile (I CCA, sentenza dell’11 maggio 1999 in re. L., consid. 4). Tale indirizzo trova riscontro anche nella giurisprudenza (DTF 105 Ia 25 consid. 1c, 103 Ia 464 consid. 2a, 92 I 41 consid. 2) e nella dottrina ( Vogel , Grundriss des Zivilprozessrechtes, 5ª edizione, pag. 99 n. 37). Ne discende che l’azione intesa all’attribuzione di una servitù di sporgenza sulla base dell’art. 674 cpv. 3 CC è proponibile davanti al giudice del luogo di situazione del fondo serviente, e dunque, nella fattispecie, davanti al Pretore della giurisdizione di Locarno-Campagna. L’appello, infondato, deve dunque essere respinto e il decreto impugnato confermato.</w:t>
      </w:r>
    </w:p>
    <w:p>
      <w:r>
        <w:rPr>
          <w:b/>
        </w:rPr>
        <w:t>E. 5</w:t>
      </w:r>
    </w:p>
    <w:p>
      <w:r>
        <w:t>Gli oneri processuali sono posti a carico degli appellanti (art. 148 cpv. 1 CPC), che rifonderanno alla controparte un’equa indennità per ripetibili. Per questi motivi, vista sulle spese anche la tariffa giudiziaria, pronuncia: 1.   L’appello è respinto e il decreto impugnato è confermato. 2.   Gli oneri processuali, consistenti in: a) tassa di giustizia      fr. 250.– b) spese                         fr. 50.– fr. 300.– sono posti a carico degli appellanti in solido, che rifonderanno alla controparte, sempre con vincolo di solidarietà, fr. 800.– complessivi per ripetibili di appello. 3.   Intimazione: – avv. __________ __________, __________; – avv. __________ __________, __________. Comunicazione alla Pretura della giurisdizione di Locarno-Campagna.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