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11.1997.94 vom 14. Juli 1998</w:t>
      </w:r>
    </w:p>
    <w:p>
      <w:r>
        <w:t>TI Tribunale d'appello, 1998-07-14, IT</w:t>
      </w:r>
    </w:p>
    <w:p>
      <w:r>
        <w:rPr>
          <w:b/>
        </w:rPr>
        <w:t xml:space="preserve">Quelle: </w:t>
      </w:r>
      <w:r>
        <w:t>https://mcp.opencaselaw.ch/entscheid/ti_gerichte_11.1997.94</w:t>
      </w:r>
    </w:p>
    <w:p>
      <w:r>
        <w:t>FR: TI_GERICHTE 11.1997.94 du 14 juillet 1998</w:t>
      </w:r>
    </w:p>
    <w:p>
      <w:r>
        <w:t>IT: TI_GERICHTE 11.1997.94 del 14 luglio 1998</w:t>
      </w:r>
    </w:p>
    <w:p>
      <w:pPr>
        <w:pStyle w:val="Heading2"/>
      </w:pPr>
      <w:r>
        <w:t>Regeste</w:t>
      </w:r>
    </w:p>
    <w:p>
      <w:r>
        <w:t>Sentenza o decisione senza scheda</w:t>
      </w:r>
    </w:p>
    <w:p>
      <w:pPr>
        <w:pStyle w:val="Heading2"/>
      </w:pPr>
      <w:r>
        <w:t>Erwägungen</w:t>
      </w:r>
    </w:p>
    <w:p>
      <w:r>
        <w:rPr>
          <w:b/>
        </w:rPr>
        <w:t>E. 1</w:t>
      </w:r>
    </w:p>
    <w:p>
      <w:r>
        <w:t>L’appellante ribadisce in questa sede che i fondi litigiosi sarebbero proprietà della comunione ereditaria fu __________ __________ nata __________, di cui egli è membro. Ora, l’art. 602 cpv. 2 CC prevede che i coeredi diventano proprietari in comune di tutti i beni della successione e dispongono in comune dei diritti inerenti alla medesima, sotto riserva delle facoltà di rappresentanza o d’ammini-strazione particolarmente conferite per legge o per contratto. Il singolo membro di una comunione ereditaria non è quindi legittimato ad agire in nome proprio per far valere pretese della successione (DTF 121 III 121 con richiami di giurisprudenza e dottrina; Vogel , Grundriss des Zivilprozessrechts, 5 a edizione, pag. 138 e 139, n. 51). L’attore non poteva dunque promuovere individualmente un’azione avente per oggetto un diritto della comunione ereditaria, come quello in esame, ma doveva agire congiuntamente con gli altri membri della comunione. Non vi era del resto urgenza, poiché per promuovere la causa di accertamento il Pretore gli aveva assegnato un termine di 60 giorni (termine di principio prorogabile: art. 130 cpv. 1 CPC), ciò che avrebbe consentito all’attore di interpellare le coeredi domiciliate negli Stati Uniti, rispettivamente di far designare dal Pretore un rappresentante della comunione ereditaria (art. 602 cpv. 3 CC). È vero che la convenuta non ha mai obiettato alcunché riguardo all’ammissibilità della petizione. I presupposti processuali devono tuttavia essere verificati d’ufficio, in ogni stadio di causa (art. 97 prima frase CPC), poiché la loro violazione implica la nullità dell’atto compiuto (art. 142 cpv. 1 lett. a CPC). La sanzione della nullità si applica, oltre che agli atti processuali, anche alle sentenze, ove esse siano impugnate con appello o con ricorso per cassazione (art. 146 CPC). L’esistenza di un litisconsorzio necessario è, appunto, un presupposto processuale (art. 97 n. 5 CPC). Ove la sentenza di primo grado sia impugnata, il rispetto di tale presupposto dev’essere verificato d’ufficio anche in sede di appello, indipendentemente dalle censure sollevate nel gravame.</w:t>
      </w:r>
    </w:p>
    <w:p>
      <w:r>
        <w:rPr>
          <w:b/>
        </w:rPr>
        <w:t>E. 2</w:t>
      </w:r>
    </w:p>
    <w:p>
      <w:r>
        <w:t>.   Ora, l’art. 45 CPC stabilisce che, constatata la mancata partecipazione di tutti gli interessati alla petizione, il giudice sospende il corso della causa e invita le persone che hanno proposto l’atto a provvedere entro un termine adeguato alla sua completazione, con la comminatoria dello stralcio della causa dai ruoli. L’incarto deve dunque essere rinviato al Pretore affinché assegni all’atto-re un termine adeguato per integrare la petizione con la partecipazione di tutti gli altri membri della comunione ereditaria. In seguito l’attore potrà ritenersi rappresentare gli altri litisconsorti (art. 46 CPC). L’assegnazione di un termine per rimediare al vizio è conforme al principio per cui, ravvisandosi la mancanza di un presupposto processuale sanabile entro breve tempo, alla parte in causa va impartito un termine perché rimedi al difetto (art. 99 cpv. 3 CPC). La petizione introdotta da __________ di appello. Per questi motivi, vista sulle spese anche la tariffa giudiziaria, pronuncia: 1.   L’appello è parzialmente accolto nel senso dei considerandi, la sentenza impugnata è dichiarata nulla e l’incarto è rinviato al Pretore affinché fissi all’attore un congruo termine per completare la petizione a norma dell’art. 45 CPC, con la comminatoria dello stralcio della causa in caso di inosservanza. 2.   Le spese del presente giudizio, consistenti in: a) tassa di giustizia      fr. 500.– b) spese                         fr.   50.– fr. 550.– sono posti a carico dell’appellante. Le ripetibili sono compensate. 3.   Intimazione a: – avv. __________ __________, __________;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