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11.1997.17 vom 4. September 1997</w:t>
      </w:r>
    </w:p>
    <w:p>
      <w:r>
        <w:t>TI Tribunale d'appello, 1997-09-04, IT</w:t>
      </w:r>
    </w:p>
    <w:p>
      <w:r>
        <w:rPr>
          <w:b/>
        </w:rPr>
        <w:t xml:space="preserve">Quelle: </w:t>
      </w:r>
      <w:r>
        <w:t>https://mcp.opencaselaw.ch/entscheid/ti_gerichte_11.1997.17</w:t>
      </w:r>
    </w:p>
    <w:p>
      <w:r>
        <w:t>FR: TI_GERICHTE 11.1997.17 du 4 septembre 1997</w:t>
      </w:r>
    </w:p>
    <w:p>
      <w:r>
        <w:t>IT: TI_GERICHTE 11.1997.17 del 4 settembre 1997</w:t>
      </w:r>
    </w:p>
    <w:p>
      <w:pPr>
        <w:pStyle w:val="Heading2"/>
      </w:pPr>
      <w:r>
        <w:t>Volltext</w:t>
      </w:r>
    </w:p>
    <w:p>
      <w:r>
        <w:t>Incarto n.11.97.00017</w:t>
      </w:r>
    </w:p>
    <w:p>
      <w:r>
        <w:t>Lugano</w:t>
      </w:r>
    </w:p>
    <w:p>
      <w:r>
        <w:t>4 settembre 1997/cs</w:t>
      </w:r>
    </w:p>
    <w:p>
      <w:r>
        <w:t>In nomedella Repubblica e Cantonedel Ticino</w:t>
      </w:r>
    </w:p>
    <w:p>
      <w:r>
        <w:t>La prima Camera civile del Tribunale dappello</w:t>
      </w:r>
    </w:p>
    <w:p>
      <w:r>
        <w:t>composta dei giudici:</w:t>
      </w:r>
    </w:p>
    <w:p>
      <w:r>
        <w:t>Epiney-Colombo, presidente,G. Bernasconi e Giani</w:t>
      </w:r>
    </w:p>
    <w:p>
      <w:r>
        <w:t>segretaria:</w:t>
      </w:r>
    </w:p>
    <w:p>
      <w:r>
        <w:t>Galfetti, vicecancelliera</w:t>
      </w:r>
    </w:p>
    <w:p>
      <w:r>
        <w:t>sedente per statuire nella causa__.__.______ (misure provvisionali in causa di stato)della Pretura del Distretto di Lugano, sezione 6, promossa conistanza del 18 giugno 1996da</w:t>
      </w:r>
    </w:p>
    <w:p>
      <w:r>
        <w:t>__________ __________,nata __________,__________</w:t>
      </w:r>
    </w:p>
    <w:p>
      <w:r>
        <w:t>(patrocinata dallavv. __________ __________, __________)</w:t>
      </w:r>
    </w:p>
    <w:p>
      <w:r>
        <w:t>contro</w:t>
      </w:r>
    </w:p>
    <w:p>
      <w:r>
        <w:t>__________ __________,__________</w:t>
      </w:r>
    </w:p>
    <w:p>
      <w:r>
        <w:t>(patrocinato dallavv. __________ __________, __________);</w:t>
      </w:r>
    </w:p>
    <w:p>
      <w:r>
        <w:t>premesso che il 31 gennaio 1997 __________ __________ ha introdotto appello contro il decreto cautelare emanato il 21 gennaio 1997 dal Pretore del Distretto di Lugano, sezione 6;</w:t>
      </w:r>
    </w:p>
    <w:p>
      <w:r>
        <w:t>preso atto che il 1° settembre 1997 lappellante ha presentato a questa Camera una convenzione sugli effetti accessori del divorzio sottoscritta dai coniugi il 29 agosto 1997 in cui __________ __________ dichiara di ritirare lappello e __________ __________ acconsente alla compensazione delle ripetibili;</w:t>
      </w:r>
    </w:p>
    <w:p>
      <w:r>
        <w:t>ricordato che il ritiro dellappello equivale a desistenza (Rep. 1978 pag. 375), la quale pone fine alla lite (art. 352 cpv. 1 CPC), e comporta, in linea di principio, laddebito degli oneri processuali con obbligo di rifondere alla controparte una congrua indennità per ripetibili;</w:t>
      </w:r>
    </w:p>
    <w:p>
      <w:r>
        <w:t>accertato che la domanda di assistenza giudiziaria introdotta da __________ __________ può essere accolta, essendo adempiuti nel caso concreto sia il requisito dellindigenza sia quello della possibilità di esito favorevole;</w:t>
      </w:r>
    </w:p>
    <w:p>
      <w:r>
        <w:t>considerato che la tassa di giustizia deve essere equamente ridotta per tenere conto della buona volontà dimostrata dalle parti (art. 21 LTG);</w:t>
      </w:r>
    </w:p>
    <w:p>
      <w:r>
        <w:t>Per la prima Camera civile del Tribunale dappello</w:t>
      </w:r>
    </w:p>
    <w:p>
      <w:r>
        <w:t>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