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11.1995.93 vom 4. März 1997</w:t>
      </w:r>
    </w:p>
    <w:p>
      <w:r>
        <w:t>TI Tribunale d'appello, 1997-03-04, IT</w:t>
      </w:r>
    </w:p>
    <w:p>
      <w:r>
        <w:rPr>
          <w:b/>
        </w:rPr>
        <w:t xml:space="preserve">Quelle: </w:t>
      </w:r>
      <w:r>
        <w:t>https://mcp.opencaselaw.ch/entscheid/ti_gerichte_11.1995.93</w:t>
      </w:r>
    </w:p>
    <w:p>
      <w:r>
        <w:t>FR: TI_GERICHTE 11.1995.93 du 4 mars 1997</w:t>
      </w:r>
    </w:p>
    <w:p>
      <w:r>
        <w:t>IT: TI_GERICHTE 11.1995.93 del 4 marzo 1997</w:t>
      </w:r>
    </w:p>
    <w:p>
      <w:pPr>
        <w:pStyle w:val="Heading2"/>
      </w:pPr>
      <w:r>
        <w:t>Volltext</w:t>
      </w:r>
    </w:p>
    <w:p>
      <w:r>
        <w:t>Incarto n.11.95.00093</w:t>
      </w:r>
    </w:p>
    <w:p>
      <w:r>
        <w:t>Lugano</w:t>
      </w:r>
    </w:p>
    <w:p>
      <w:r>
        <w:t>04 marzo 1997/cs</w:t>
      </w:r>
    </w:p>
    <w:p>
      <w:r>
        <w:t>In nomedella Repubblica e Cantonedel Ticino</w:t>
      </w:r>
    </w:p>
    <w:p>
      <w:r>
        <w:t>La prima Camera civile del Tribunale dappello</w:t>
      </w:r>
    </w:p>
    <w:p>
      <w:r>
        <w:t>composta dei giudici:</w:t>
      </w:r>
    </w:p>
    <w:p>
      <w:r>
        <w:t>Epiney-Colombo, presidente,G. Bernasconi e Giani</w:t>
      </w:r>
    </w:p>
    <w:p>
      <w:r>
        <w:t>segretaria:</w:t>
      </w:r>
    </w:p>
    <w:p>
      <w:r>
        <w:t>Petralli, vicecancelliera</w:t>
      </w:r>
    </w:p>
    <w:p>
      <w:r>
        <w:t>sedente per statuire nella causan. ______ (iscrizione provvisoria di ipoteca legale)della Pretura del Distretto di Bellinzona promossacon istanza del 9 giugno 1992da</w:t>
      </w:r>
    </w:p>
    <w:p>
      <w:r>
        <w:t>__________ __________e ____________________,__________</w:t>
      </w:r>
    </w:p>
    <w:p>
      <w:r>
        <w:t>(patrocinata dallavv. __________ __________, __________)</w:t>
      </w:r>
    </w:p>
    <w:p>
      <w:r>
        <w:t>contro</w:t>
      </w:r>
    </w:p>
    <w:p>
      <w:r>
        <w:t>__________ __________,__________</w:t>
      </w:r>
    </w:p>
    <w:p>
      <w:r>
        <w:t>__________ ____________________,__________ -__________</w:t>
      </w:r>
    </w:p>
    <w:p>
      <w:r>
        <w:t>(entrambe patrocinate dallavv. __________ __________, __________)</w:t>
      </w:r>
    </w:p>
    <w:p>
      <w:r>
        <w:t>__________ __________,__________;</w:t>
      </w:r>
    </w:p>
    <w:p>
      <w:r>
        <w:t>premesso che il 31 dicembre 1992 __________ __________ e __________ __________ __________ __________ hanno presentato appello contro la sentenza emanata il 18 dicembre 1992 dal Pretore del Distretto di Bellinzona;</w:t>
      </w:r>
    </w:p>
    <w:p>
      <w:r>
        <w:t>preso atto che con lettera del 3 marzo 1997 gli appellanti hanno comunicato di ritirare il ricorso;</w:t>
      </w:r>
    </w:p>
    <w:p>
      <w:r>
        <w:t>ricordato che il ritiro dellappello equivale a desistenza (Rep. __________pag. 375) e comporta  per principio  laddebito degli oneri processuali a chi recede dalla lite, con obbligo di rifondere alla controparte una congrua indennità per ripetibili;</w:t>
      </w:r>
    </w:p>
    <w:p>
      <w:r>
        <w:t>considerato che, per quanto attiene alle ripetibili, non vi è motivo per scostarsi dallac-cordo agli atti;</w:t>
      </w:r>
    </w:p>
    <w:p>
      <w:r>
        <w:t>ritenuto che in concreto la tassa di giustizia deve essere equamente ridotta, la procedura non terminando con un giudizio di merito (art. 21 LTG);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