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11.1995.282 vom 4. November 1996</w:t>
      </w:r>
    </w:p>
    <w:p>
      <w:r>
        <w:t>TI Tribunale d'appello, 1996-11-04, IT</w:t>
      </w:r>
    </w:p>
    <w:p>
      <w:r>
        <w:rPr>
          <w:b/>
        </w:rPr>
        <w:t xml:space="preserve">Quelle: </w:t>
      </w:r>
      <w:r>
        <w:t>https://mcp.opencaselaw.ch/entscheid/ti_gerichte_11.1995.282</w:t>
      </w:r>
    </w:p>
    <w:p>
      <w:r>
        <w:t>FR: TI_GERICHTE 11.1995.282 du 4 novembre 1996</w:t>
      </w:r>
    </w:p>
    <w:p>
      <w:r>
        <w:t>IT: TI_GERICHTE 11.1995.282 del 4 novembre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è accolto e il decreto impugnato è così riformato: I.   L’istanza è respinta. II.  Le spese processuali, con una tassa di giustizia di fr. 100.–, sono poste a carico dell’istante. III.  (Invariato).</w:t>
      </w:r>
    </w:p>
    <w:p>
      <w:r>
        <w:rPr>
          <w:b/>
        </w:rPr>
        <w:t>E. 2</w:t>
      </w:r>
    </w:p>
    <w:p>
      <w:r>
        <w:t>Gli oneri del presente giudizio, consistenti in: a) tassa di giustizia                                              fr.   50.– b) spese                                                                fr. 50.– fr. 100.– sono posti a carico dell’avv. __________ __________, che rifonderà a __________ __________ l’importo di fr. 150.– per ripetibili di appello.</w:t>
      </w:r>
    </w:p>
    <w:p>
      <w:r>
        <w:rPr>
          <w:b/>
        </w:rPr>
        <w:t>E. 3</w:t>
      </w:r>
    </w:p>
    <w:p>
      <w:r>
        <w:t>Intimazione a: – avv. __________ __________, __________; – avv. __________ __________i, __________; – __________ __________, __________; – __________ __________ -__________, __________; – __________ __________, __________. Comunicazione a: – Pretura del Distretto di Lugano, sezione 4; – avv. __________ __________, __________; – __________. __________r-__________, __________.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