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11.1995.23 vom 22. Juni 1995</w:t>
      </w:r>
    </w:p>
    <w:p>
      <w:r>
        <w:t>TI Tribunale d'appello, 1995-06-22, IT</w:t>
      </w:r>
    </w:p>
    <w:p>
      <w:r>
        <w:rPr>
          <w:b/>
        </w:rPr>
        <w:t xml:space="preserve">Quelle: </w:t>
      </w:r>
      <w:r>
        <w:t>https://mcp.opencaselaw.ch/entscheid/ti_gerichte_11.1995.23</w:t>
      </w:r>
    </w:p>
    <w:p>
      <w:r>
        <w:t>FR: TI_GERICHTE 11.1995.23 du 22 juin 1995</w:t>
      </w:r>
    </w:p>
    <w:p>
      <w:r>
        <w:t>IT: TI_GERICHTE 11.1995.23 del 22 giugno 1995</w:t>
      </w:r>
    </w:p>
    <w:p>
      <w:pPr>
        <w:pStyle w:val="Heading2"/>
      </w:pPr>
      <w:r>
        <w:t>Regeste</w:t>
      </w:r>
    </w:p>
    <w:p>
      <w:r>
        <w:t>Sentenza o decisione senza scheda</w:t>
      </w:r>
    </w:p>
    <w:p>
      <w:pPr>
        <w:pStyle w:val="Heading2"/>
      </w:pPr>
      <w:r>
        <w:t>Erwägungen</w:t>
      </w:r>
    </w:p>
    <w:p>
      <w:r>
        <w:rPr>
          <w:b/>
        </w:rPr>
        <w:t>E. 1</w:t>
      </w:r>
    </w:p>
    <w:p>
      <w:r>
        <w:t>L’art. 710 cpv. 1 CC stabilisce che qualora manchi a un fondo l’acqua necessaria per la casa e le sue dipendenze e non sia possibile condurvela da altro luogo senza un lavoro e una spesa sproporzionati, il proprietario può chiedere che il vicino gli ceda, dietro completa indennità, una parte della sorgente o fontana, di cui egli possa privarsi senza detrimento dei propri bisogni. In concreto il diritto all’ottenimento della fontana necessaria – chiesto dal comune in via subordinata e accolto dal Pretore – è pacifico; litigioso è l’ammontare della completa indennità prevista dall'art. 710 cpv. 1 CC. a) Quale indennità per la concessione della servitù di captazione di acqua sorgiva con relativo diritto di passo per accesso e manutenzione, il Pretore ha riconosciuto ai convenuti l’importo di complessivi fr. 6’000.–, di cui fr. 5’500.– per il diritto di captazione dell’acqua e fr. 500.– per il diritto di passo, facendo proprie le conclusioni del perito giudiziario (perizia, pagg. 13–19). Quest’ultimo ha ottenuto l’importo di fr. 5’500.– operando una media tra il sistema di calcolo tradizional e, che fissava il valore della sorgente in fr. 3’000.–(perizia pag. 13–17) e quello a reddito, che dava un valore di fr. 8000.– (perizia pag. 17). b) Con l’appello i convenuti chiedono che, in aggiunta all’indennità stabilita dal Pretore, siano loro riconosciuti fr. 0.20 al m</w:t>
      </w:r>
    </w:p>
    <w:p>
      <w:r>
        <w:rPr>
          <w:b/>
        </w:rPr>
        <w:t>E. 3</w:t>
      </w:r>
    </w:p>
    <w:p>
      <w:r>
        <w:t>Spese e ripetibili in questa sede seguono la soccombenza (art. 148 cpv. 1 CPC). Visto l’esito dell’appello, che è stato accolto solo parzialmente, si giustifica porre gli oneri processuali a carico degli appellanti in solido per 1/4 e a carico dell’appellato per 3/4. Quest’ultimo rifonderà inoltre alla controparte un’indennità per ripetibili ridotte di appello. Per questi motivi, vista sulle spese anche la tariffa giudiziaria pronuncia : I. L’appello è parzialmente accolto. Di conseguenza la sentenza impugnata è così riformata: 5.   La tassa di giustizia, fissata in fr. 800.– e le spese, comprese quelle peritali,  sono poste a carico dell’attore, che rifonderà alla controparte fr. 1’500.– per ripetibili. Per il resto la sentenza impugnata rimane invariata II. Gli oneri del presente giudizio, consistenti in: a) tassa di giustizia                      fr. 310.– b) spese                                        fr.      50.– fr.    360.– sono posti a carico degli appellanti per 1/4 e della parte appellata per i 3/4 rimanenti. Il Comune di __________ rifonderà inoltre alla controparte l’importo di fr. 750.– per ripetibili ridotte di appello. III. Intimazione: – avv. __________, __________ – avv.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