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10.2007.6 vom 9. April 2009</w:t>
      </w:r>
    </w:p>
    <w:p>
      <w:r>
        <w:t>TI Tribunale d'appello, 2009-04-09, IT</w:t>
      </w:r>
    </w:p>
    <w:p>
      <w:r>
        <w:rPr>
          <w:b/>
        </w:rPr>
        <w:t xml:space="preserve">Quelle: </w:t>
      </w:r>
      <w:r>
        <w:t>https://mcp.opencaselaw.ch/entscheid/ti_gerichte_10.2007.6</w:t>
      </w:r>
    </w:p>
    <w:p>
      <w:r>
        <w:t>FR: TI_GERICHTE 10.2007.6 du 9 avril 2009</w:t>
      </w:r>
    </w:p>
    <w:p>
      <w:r>
        <w:t>IT: TI_GERICHTE 10.2007.6 del 9 aprile 2009</w:t>
      </w:r>
    </w:p>
    <w:p>
      <w:pPr>
        <w:pStyle w:val="Heading2"/>
      </w:pPr>
      <w:r>
        <w:t>Volltext</w:t>
      </w:r>
    </w:p>
    <w:p>
      <w:r>
        <w:t>Incarto n.10.2007.6</w:t>
      </w:r>
    </w:p>
    <w:p>
      <w:r>
        <w:t>Lugano</w:t>
      </w:r>
    </w:p>
    <w:p>
      <w:r>
        <w:t>9 aprile 2009/fb</w:t>
      </w:r>
    </w:p>
    <w:p>
      <w:r>
        <w:t>In nomedella Repubblica e CantoneTicino</w:t>
      </w:r>
    </w:p>
    <w:p>
      <w:r>
        <w:t>La seconda Camera civile del Tribunale d'appello</w:t>
      </w:r>
    </w:p>
    <w:p>
      <w:r>
        <w:t>composta dei giudici:</w:t>
      </w:r>
    </w:p>
    <w:p>
      <w:r>
        <w:t>Epiney-Colombo, presidente,</w:t>
      </w:r>
    </w:p>
    <w:p>
      <w:r>
        <w:t>Walser e Lardelli</w:t>
      </w:r>
    </w:p>
    <w:p>
      <w:r>
        <w:t>segretario:</w:t>
      </w:r>
    </w:p>
    <w:p>
      <w:r>
        <w:t>Bettelini, vicecancelliere</w:t>
      </w:r>
    </w:p>
    <w:p>
      <w:r>
        <w:t>sedente per giudicare nella causa promossa direttamente in appello, con petizione 7 marzo 2007 da</w:t>
      </w:r>
    </w:p>
    <w:p>
      <w:r>
        <w:t>IS 1</w:t>
      </w:r>
    </w:p>
    <w:p>
      <w:r>
        <w:t>CO 1</w:t>
      </w:r>
    </w:p>
    <w:p>
      <w:r>
        <w:t>volta a ottenere il pagamento di fr. 8'828.60 oltre interessi al 5% a titolo di diritti dautore;</w:t>
      </w:r>
    </w:p>
    <w:p>
      <w:r>
        <w:t>preso atto che la convenuta è stata sciolta il 15 ottobre 2007 dufficio per mancanza di recapito e vista la domanda 1° aprile 2009 dellattrice, la quale dichiara di ritirare la petizione, non avendo potuto ottenere la reiscrizione della convenuta ai sensi dellart. 713b CO;</w:t>
      </w:r>
    </w:p>
    <w:p>
      <w:r>
        <w:t>considerato che nella commisurazione della tassa di giustizia si tiene conto della fine della procedura giudiziaria senza sentenza, mentre non vi è motivo di attribuire ripetibili, la controparte non avendo più esistenza giuridica;</w:t>
      </w:r>
    </w:p>
    <w:p>
      <w:r>
        <w:t>-</w:t>
      </w:r>
    </w:p>
    <w:p>
      <w:r>
        <w:t>Per la seconda Camera civile delTribunale di appello</w:t>
      </w:r>
    </w:p>
    <w:p>
      <w:r>
        <w:t>La presidente                                                        Il segretario</w:t>
      </w:r>
    </w:p>
    <w:p>
      <w:r>
        <w:t>Rimedi giuridici</w:t>
      </w:r>
    </w:p>
    <w:p>
      <w:r>
        <w:t>Contro la presente sentenza è dato ricorso in materia civile al Tribunale federale, 1000 Losanna 14, entro 30 giorni dalla notificazione (art. 100 cpv. 1 LTF). Nelle cause a carattere pecuniario il ricorso è ammissibile se il valore litigioso ammonta ad almeno fr. 15'000.- nelle vertenze in materia di diritto del lavoro e di locazione e ad almeno fr. 30'000.- negli altri casi. Per valori inferiori il ricorso è ammissibile se la controversia concerne una questione di diritto di importanza fondamentale o se una legge federale prescrive unistanza cantonale unica (art. 74 cpv. 2 LTF). Qualora non sia ammissibile il ricorso in materia civile è dato, entro lo stesso termine, ricorso sussidiario in materia costituzionale (art. 113, 117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