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10.2006.8-2 vom 3. August 2007</w:t>
      </w:r>
    </w:p>
    <w:p>
      <w:r>
        <w:t>TI Tribunale d'appello, 2007-08-03, IT</w:t>
      </w:r>
    </w:p>
    <w:p>
      <w:r>
        <w:rPr>
          <w:b/>
        </w:rPr>
        <w:t xml:space="preserve">Quelle: </w:t>
      </w:r>
      <w:r>
        <w:t>https://mcp.opencaselaw.ch/entscheid/ti_gerichte_10.2006.8-2</w:t>
      </w:r>
    </w:p>
    <w:p>
      <w:r>
        <w:t>FR: TI_GERICHTE 10.2006.8-2 du 3 août 2007</w:t>
      </w:r>
    </w:p>
    <w:p>
      <w:r>
        <w:t>IT: TI_GERICHTE 10.2006.8-2 del 3 agosto 2007</w:t>
      </w:r>
    </w:p>
    <w:p>
      <w:pPr>
        <w:pStyle w:val="Heading2"/>
      </w:pPr>
      <w:r>
        <w:t>Regeste</w:t>
      </w:r>
    </w:p>
    <w:p>
      <w:r>
        <w:t>espropriazione formale nell'ambito delle opere di allargamento di una strada comunale di quartiere (opera già eseguita, indennità per terreni posti in zona edificabile RE)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Va detto subito che gli accordi stipulati prima dell’avvio della presente procedura, specie quelli risalenti agli anni ’80, non sono decisivi ai fini del giudizio; non lo sono, in particolare, né quelli riguardanti la data di occupazione effettiva dei sedimi per l’esecuzione dell’opera, né quelli sull’ammontare e le condizioni del risarcimento. Si tratta infatti di accordi extragiudiziari che si configurano come contratti di diritto privato e non come contratti espropriativi ai sensi degli art. 43 e 44 Lespr. (cfr. Hess/Weibel, Das Enteignungsrecht des Bundes, 1986, ad art. 102 no. 4, ad art. 53 no. 1, 3, 12, ad art. 54 no. 1-2; Grisel, Traité de droit administratif, 1984, vol. II, p. 762-763; RDAT II-2002 no. 51; TRAM 19.9.2006 N. 50.2005.30). Concretamente ciò significa che l’accordo concluso nel 1985 dal Comune con i precedenti proprietari del mapp. no. 640 (cfr. lettera del 25.1.1985 controfirmata per accettazione) non vincola il Tribunale. L’indennità è quindi stimata sulla base dei criteri sanciti dal diritto espropriativo con valuta attuale (art. 19 Lespr.) e non comporta il riconoscimento di interessi al saggio usuale (art. 52 cpv. 3 Lespr.) poiché l’occupazione a suo tempo avvenuta della superficie non vale quale anticipata immissione in possesso ai sensi dell’art. 51 Lespr..</w:t>
      </w:r>
    </w:p>
    <w:p>
      <w:r>
        <w:rPr>
          <w:b/>
        </w:rPr>
        <w:t>E. 4.1</w:t>
      </w:r>
    </w:p>
    <w:p>
      <w:r>
        <w:t>L’espropriazione è subordinata al versamento di una piena indennità (art. 9 Lespr.) che, a compensazione del danno indotto dall’intervento espropriativo, è finalizzata a restituire al soggetto colpito le condizioni economiche di cui avrebbe goduto se l’evento non avesse avuto luogo, senza pregiudicarlo né arricchirlo (Hess/Weibel, op. cit., ad art. 16 no. 4). L’indennità consta, in particolare, dell’intero valore venale del diritto espropriato (art. 11 let. a Lespr.) trovando riscontro nel prezzo commerciale oggettivo che un qualsiasi privato o agente immobiliare avveduto stipulerebbe nell’ambito di una libera transazione immobiliare (Hess/Weibel, op. cit., ad art. 19 no. 50 ss; Wiederkehr, Die Expropriationsentschädigung, 1966, p. 25 e 33; Grisel, Traité de droit administratif, 1984, vol. II, p. 734). Strumento di valutazione è il cosiddetto metodo statistico-comparativo che, previa incursione nei prezzi di vendita ufficialmente registrati, preferibilmente durante l’anno precedente il dies aestimandi e riferibili a fondi analoghi, analizza i dati accertati estrapolando quelli per tin enti per adeguarli all'oggetto da stimare. Il tutto attraverso un confronto oggettivo e soppesando le singole caratteristiche, le potenzialità di sfruttamento come anche tutti i fattori che intervengono più o meno sensibilmente nel settore delle transazioni immobiliari riflettendosi sui prezzi (Hess/Weibel, op. cit., ad art. 19 no. 52, 80 ss; DTF 115 Ib 408, 122 I 168 c. 3a, 122 II 337 c. 5; RDAT II-1998 no. 27) tra i quali si annoverano altresì le eventuali possibilità di miglior uso del fondo (art. 12 cpv. 1 Lespr.), purché siano concrete, nonché i diritti e gli oneri iscritti o annotati a RF (art. 14 Lespr.). L’applicazione del metodo statistico-comparativo presuppone la disponibilità di un adeguato campione di raffronto, non invece l’identità con l’oggetto paragonato. E’ tuttavia indispensabile che i valori accertati siano analizzabili e cioè che costituiscano una testimonianza valida quanto ragionevole delle tendenze e dell’evoluzione del mercato immobiliare (RDAT 1985 no. 92, II-1998 no. 27). In quest’ottica le punte estreme – ossia i prezzi di gran lunga al di sotto o al di sopra della media stipulati in un contratto isolato – ed i prezzi per tin enti a terreni già edificati non hanno valenza decisiva ai fini dell’estimo (Hess/Weibel, op. cit., ad art. 19 no. 87 e 89).</w:t>
      </w:r>
    </w:p>
    <w:p>
      <w:r>
        <w:rPr>
          <w:b/>
        </w:rPr>
        <w:t>E. 4.2</w:t>
      </w:r>
    </w:p>
    <w:p>
      <w:r>
        <w:t>Come d’uso il Tribunale ha effettuato una ricerca a RF in merito ai prezzi ufficiali più recenti risultanti dalle compravendite di terreni liberi siti a __________ in zona Re. In tale ambito, premesso che nel 2007 non è stata riscontrata alcuna transazione, è emerso che la maggioranza di quelle stipulate negli anni 2005 e 2006 si riconduce al riscatto dei sedimi per la sistemazione viaria in zona __________ ed ai relativi accordi di cui già si è detto che si attestano mediamente su di un valore di fr. 100.- il mq (scorpori ai mapp. no. 839, 838, 641, 892, 226, 893, 734 e 229, nonché mapp. no. 1052, 1054 e 1055); fa eccezione solo lo scorporo al mapp. no. 842 ceduto a fr. 200.- il mq. In ragione delle loro particolari modalità tali cessioni non costituiscono una valida testimonianza del mercato immobiliare attuale e quindi nemmeno servono ai fini dell’estimo. A comprova di ciò siano citate le compravendite liberamente stipulate tra privati che offrono ben altri risultati: nel 2006 - fr. 650.- il mq per il mapp. no. 1066 di mq 579, loc. __________ (iscr. a RF il 18.12.2006 al d.g. 30214); nel 2005 - fr. 480.- il mq per il mapp. no. 1061 di mq 500, loc. __________ (iscr. a RF il 7.6.2005 al d.g. 12285); nel 2004 - fr. 405.94 il mq per il mapp. no. 1020 di mq 505, loc. __________ (iscr. a RF il 31.3.2004 al d.g. 6834). Il trapasso è avvenuto in seguito all’esercizio di un diritto di compera; - fr. 532.79 il mq per il mapp. no. 1016 di mq 488, loc. __________ (iscr. a RF il 28.10.2004 al d.g. 25624). Il trapasso è avvenuto in seguito all’esercizio di un diritto di compera; - fr. 394.37 il mq per il mapp. no. 1017 di mq 710, con quota di comproprietà di ¼ sulla strada coattiva al mapp. no. 139, loc. __________ (iscr. a RF l’8.10.1004 al d.g. 23245); nel 2003 - fr. 400.- il mq per il mapp. no. 1012 di mq 375, loc. __________ (iscr. a RF il 27.10.2003 al d.g. 27476). Il trapasso è avvenuto in seguito all’esercizio di un diritto di compera; nel 2002 - fr. 450.- il mq per il mapp. no. 1011 di mq 254, loc. __________ (iscr. a RF il 12.8.2002 al d.g. 19056); - fr. 450 il mq per il mapp. no. 1010 di mq 246, loc. __________ (iscr. a RF il 12.8.2002 al d.g. 19054); - fr. 162.10 il mq per il mapp. no. 289 di mq 2591, loc. __________ (iscr. a RF il 30.8.2002 al d.g. 20372). Il fondo consta di una superficie boschiva di mq 1100 e di un riale di mq 39; - fr. 473.48 il mq per il mapp. no. 998 di mq 528, loc. __________ (iscr. a RF il 30.12.2002 al d.g. 30610); nel 2001 - fr. 200.- il mq per il mapp. no. 124 di mq 47, loc. __________ (iscr. a RF il 26.7.2001 al d.g. 15077); - fr. 222.22 il mq per il mapp. no. 599 di mq 45, loc. __________ (iscr. a RF il 26.7.2001 al d.g. 15076); nel 2000 - fr. 418.99 il mq per il mapp. no. 229 di mq 1074, loc. __________ (iscr. a RF il 6.9.2000 al d.g. 17720); - fr. 419.38 il mq per il mapp. no. 881 di mq 1073, loc. __________ (iscr. a RF il 1°.12.2000 al d.g. 24650); - fr. 460.- il mq per il mapp. no. 736 di mq 783, loc. __________ (iscr. a RF il 25.10.2000 al d.g. 21884); - fr. 465.77 il mq per il mapp. no. 602 di mq 2147, loc. __________ (iscr. a RF il 6.7.2000 al d.g. 13303). Dall’elenco delle transazioni si può desumere che i prezzi più alti sono stati soluti nelle località di __________ e __________: la prima è una zona residenziale assai piacevole situata in collina mentre la seconda è adagiata sul piano a pochi passi dal nucleo. Complessivamente tali località sono più attrattive rispetto a __________ poiché quest’ultima è ubicata nella parte più bassa della zona residenziale ed è più discosta dal paese rivelandosi, di conseguenza, meno pregiata. Prova ne sia che, al di là degli scorpori acquisiti dal Comune ed a differenza delle altre due località, recentemente non vi è stata registrata alcuna transazione. L’assenza di richiesta è segno, peraltro, di una certa stagnazione del mercato – e quindi dei prezzi – nel comprensorio motivo per cui è lecito ritenere che la quotazione di fr. 450.- il mq assodata nel 2002 sia tutt’ora valida. Ne consegue che l’indennità offerta nelle tabelle pubblicate è palesemente insufficiente poiché non corrisponde alla realtà attuale di mercato ed il Comune non può certo aspettarsi di liquidare i proprietari fondandosi su valori che risalgono ad una ventina di anni or sono. A ciò si aggiunge che l’effetto anticipato negativo dato dal vincolo di PR che ha destinato la superficie esproprianda a sedime stradale – concretizzatosi al momento dell’edificazione del fondo (cfr. consid. 2) – non è un elemento influente ai fini dell’estimo (art. 12 cpv. 2 Lespr.); in altre parole, il fatto che la superficie sia stata riservata a fini pubblici e sia già usata come strada non significa che il Comune possa acquistarla ad un valore inferiore a quello edilizio. Per altro verso ed in mancanza di riscontri oggettivi anche l’indennità sollecitata dai proprietari non è condivisibile. Oltretutto il prezzo d’acquisto soluto nel 1999, che pretendono di recuperare, era comprensivo del l’abitazione e dell’autorimessa (cfr. istanza di iscrizione a RF del 3.12.1999) e di conseguenza, come già rammentato (cfr. consid. 4.1 in fine) non ha valenza decisiva. Tutto sommato la part. no. 640 è un buon terreno edilizio ben orientato ed urbanizzato e di dimensioni sensibilmente inferiori al mapp. no. 736 compravenduto nel 2000 ed ubicato nelle vicinanze. Pertanto il Tribunale reputa adeguata un’indennità di fr. 450.- il mq.</w:t>
      </w:r>
    </w:p>
    <w:p>
      <w:r>
        <w:rPr>
          <w:b/>
        </w:rPr>
        <w:t>E. 5</w:t>
      </w:r>
    </w:p>
    <w:p>
      <w:r>
        <w:t>Nelle tabelle pubblicate, oltre a proporre un’indennità per la superficie espropriata, il Comune ha dichiarato che quest’ultima potrà essere computata negli indici edificatori. La questione non è di competenza del Tribunale di espropriazione (art. 37 Lespr.). Sia rammentato comunque che in ambito espropriativo vige il principio del pieno indennizzo da corrispondersi in denaro (art. 9 e 10 cpv. 1 Lespr.). La possibilità di considerare gli indici dell’area espropriata nel computo della superficie edificabile rimanente è un’alternativa che il Comune può offrire all’espropriato ma che è subordinata alla cessione gratuita del sedime destinato a scopi pubblici (art. 38 cpv. 2 let. c LE), ciò che in concreto non è avvenuto.</w:t>
      </w:r>
    </w:p>
    <w:p>
      <w:r>
        <w:rPr>
          <w:b/>
        </w:rPr>
        <w:t>E. 6</w:t>
      </w:r>
    </w:p>
    <w:p>
      <w:r>
        <w:t>La tassa di giustizia e le spese sono a carico dell’ente espropriante (art. 73 cpv. 1 Lespr.). Gli espropriati, rappresentati da un legale, hanno diritto alla rifusione delle ripetibili commisurate alla consulenza offerta ed alle difficoltà, invero assai contenute, poste dalla vertenza. perr i quali motivi richiamata                       la Legge di espropriazione dell’8 marzo 1971, dichiara e pronuncia: 1.     Per l’espropriazione formale di mq 26 del mapp. no. 640 l’ente espropriante verserà agli espropriati un’indennità di fr. 450.- il mq. 2.     La tassa di giustizia e le spese in fr. 1'000.- sono a carico dell’ente espropriante con l’obbligo di rifondere agli espropriati fr. 1'000.- per ripetibili. 3.     Contro la presente decisione è data facoltà di ricorso al Tribunale cantonale amministrativo, Lugano, nel termine di trenta giorni dall’intimazione. 4.     Intimazione a: - - per il Tribunale di espropriazione la Presidente                                                                             Il segretario giudiziario Margherita De Morpurgo                                                           Enzo Barenco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