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10.2005.486 vom 14. Februar 2006</w:t>
      </w:r>
    </w:p>
    <w:p>
      <w:r>
        <w:t>TI Tribunale d'appello, 2006-02-14, IT</w:t>
      </w:r>
    </w:p>
    <w:p>
      <w:r>
        <w:rPr>
          <w:b/>
        </w:rPr>
        <w:t xml:space="preserve">Quelle: </w:t>
      </w:r>
      <w:r>
        <w:t>https://mcp.opencaselaw.ch/entscheid/ti_gerichte_10.2005.486</w:t>
      </w:r>
    </w:p>
    <w:p>
      <w:r>
        <w:t>FR: TI_GERICHTE 10.2005.486 du 14 février 2006</w:t>
      </w:r>
    </w:p>
    <w:p>
      <w:r>
        <w:t>IT: TI_GERICHTE 10.2005.486 del 14 febbraio 2006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settembre 2005?</w:t>
      </w:r>
    </w:p>
    <w:p>
      <w:r>
        <w:t>4.  A chi vanno caricate la tassa e le spese di giudizio?</w:t>
      </w:r>
    </w:p>
    <w:p>
      <w:r>
        <w:t>letti ed esaminati                gli atti;</w:t>
      </w:r>
    </w:p>
    <w:p>
      <w:r>
        <w:t>visti                                   gli art. 19a LStup; 9 e segg., 273 e segg. CPP; 39 LTG;</w:t>
      </w:r>
    </w:p>
    <w:p>
      <w:r>
        <w:t>rispondendo                       ai quesiti posti;</w:t>
      </w:r>
    </w:p>
    <w:p>
      <w:r>
        <w:t>dichiaraACCU 1</w:t>
      </w:r>
    </w:p>
    <w:p>
      <w:r>
        <w:t>autrice colpevole di:</w:t>
      </w:r>
    </w:p>
    <w:p>
      <w:r>
        <w:t>contravvenzione alla Legge federale sugli stupefacenti, art. 19a LStup,</w:t>
      </w:r>
    </w:p>
    <w:p>
      <w:r>
        <w:t>per i fatti compiuti a __________ e in altre località non meglio precisate nel periodo 1 ottobre __________ -19 agosto __________ nelle circostanze descritte nel decreto di accusa n. DA 3502/2005 del 19 settembre 2005;</w:t>
      </w:r>
    </w:p>
    <w:p>
      <w:r>
        <w:t>condanna                         ACCU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