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10.2005.260 vom 19. Oktober 2005</w:t>
      </w:r>
    </w:p>
    <w:p>
      <w:r>
        <w:t>TI Tribunale d'appello, 2005-10-19, IT</w:t>
      </w:r>
    </w:p>
    <w:p>
      <w:r>
        <w:rPr>
          <w:b/>
        </w:rPr>
        <w:t xml:space="preserve">Quelle: </w:t>
      </w:r>
      <w:r>
        <w:t>https://mcp.opencaselaw.ch/entscheid/ti_gerichte_10.2005.260</w:t>
      </w:r>
    </w:p>
    <w:p>
      <w:r>
        <w:t>FR: TI_GERICHTE 10.2005.260 du 19 octobre 2005</w:t>
      </w:r>
    </w:p>
    <w:p>
      <w:r>
        <w:t>IT: TI_GERICHTE 10.2005.260 del 19 ottobre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L'opposizione è irricevibile .</w:t>
      </w:r>
    </w:p>
    <w:p>
      <w:r>
        <w:rPr>
          <w:b/>
        </w:rPr>
        <w:t>E. 2</w:t>
      </w:r>
    </w:p>
    <w:p>
      <w:r>
        <w:t>Alla crescita in giudicato del presente giudizio l’incarto sarà retrocesso al Procuratore pubblico per quanto di sua competenza.</w:t>
      </w:r>
    </w:p>
    <w:p>
      <w:r>
        <w:rPr>
          <w:b/>
        </w:rPr>
        <w:t>E. 3</w:t>
      </w:r>
    </w:p>
    <w:p>
      <w:r>
        <w:t>Non si prelevano né tasse né spese.</w:t>
      </w:r>
    </w:p>
    <w:p>
      <w:r>
        <w:rPr>
          <w:b/>
        </w:rPr>
        <w:t>E. 4</w:t>
      </w:r>
    </w:p>
    <w:p>
      <w:r>
        <w:t>Intimazione a: Il presidente:            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