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10.2004.309 vom 19. Oktober 2004</w:t>
      </w:r>
    </w:p>
    <w:p>
      <w:r>
        <w:t>TI Tribunale d'appello, 2004-10-19, IT</w:t>
      </w:r>
    </w:p>
    <w:p>
      <w:r>
        <w:rPr>
          <w:b/>
        </w:rPr>
        <w:t xml:space="preserve">Quelle: </w:t>
      </w:r>
      <w:r>
        <w:t>https://mcp.opencaselaw.ch/entscheid/ti_gerichte_10.2004.309</w:t>
      </w:r>
    </w:p>
    <w:p>
      <w:r>
        <w:t>FR: TI_GERICHTE 10.2004.309 du 19 octobre 2004</w:t>
      </w:r>
    </w:p>
    <w:p>
      <w:r>
        <w:t>IT: TI_GERICHTE 10.2004.309 del 19 ottobre 2004</w:t>
      </w:r>
    </w:p>
    <w:p>
      <w:pPr>
        <w:pStyle w:val="Heading2"/>
      </w:pPr>
      <w:r>
        <w:t>Volltext</w:t>
      </w:r>
    </w:p>
    <w:p>
      <w:r>
        <w:t>Incarto n.10.2004.309</w:t>
      </w:r>
    </w:p>
    <w:p>
      <w:r>
        <w:t>DA 2876/2004</w:t>
      </w:r>
    </w:p>
    <w:p>
      <w:r>
        <w:t>Bellinzona</w:t>
      </w:r>
    </w:p>
    <w:p>
      <w:r>
        <w:t>19 ottobre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30 agosto 2004 di</w:t>
      </w:r>
    </w:p>
    <w:p>
      <w:r>
        <w:t>ACCU 1,</w:t>
      </w:r>
    </w:p>
    <w:p>
      <w:r>
        <w:t>difeso da:   DUF 1</w:t>
      </w:r>
    </w:p>
    <w:p>
      <w:r>
        <w:t>interposta al decreto d'accusa n. DA 2876/2004 di data 26 agosto 2004 del   AINQ 1</w:t>
      </w:r>
    </w:p>
    <w:p>
      <w:r>
        <w:t>preso atto                          del ritiro della suddetta opposizione con lettera 18 ottobre 2004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18 gennaio 2004 alle ore 14:30non avrà quindi luogo;l'incarto è ritornato al   AINQ 1per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 50.00</w:t>
      </w:r>
    </w:p>
    <w:p>
      <w:r>
        <w:t>Spese giudiziarie                 fr. 30.00</w:t>
      </w:r>
    </w:p>
    <w:p>
      <w:r>
        <w:t>Totale                                fr.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