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10.2003.7 vom 9. Mai 2003</w:t>
      </w:r>
    </w:p>
    <w:p>
      <w:r>
        <w:t>TI Tribunale d'appello, 2003-05-09, IT</w:t>
      </w:r>
    </w:p>
    <w:p>
      <w:r>
        <w:rPr>
          <w:b/>
        </w:rPr>
        <w:t xml:space="preserve">Quelle: </w:t>
      </w:r>
      <w:r>
        <w:t>https://mcp.opencaselaw.ch/entscheid/ti_gerichte_10.2003.7</w:t>
      </w:r>
    </w:p>
    <w:p>
      <w:r>
        <w:t>FR: TI_GERICHTE 10.2003.7 du 9 mai 2003</w:t>
      </w:r>
    </w:p>
    <w:p>
      <w:r>
        <w:t>IT: TI_GERICHTE 10.2003.7 del 9 maggio 2003</w:t>
      </w:r>
    </w:p>
    <w:p>
      <w:pPr>
        <w:pStyle w:val="Heading2"/>
      </w:pPr>
      <w:r>
        <w:t>Erwägungen</w:t>
      </w:r>
    </w:p>
    <w:p>
      <w:r>
        <w:rPr>
          <w:b/>
        </w:rPr>
        <w:t>E. 2</w:t>
      </w:r>
    </w:p>
    <w:p>
      <w:r>
        <w:t>alla multa di fr. 1'000.-; 3.  al pagamento delle tasse e spese giudiziarie di complessivi fr. 700.- (fr. 1'100.- in caso di motivazione scritta). ordina l'iscrizione della condanna a casellario giudiziale, che sarà cancellata trascorso il periodo fissato dagli art. 80 e 41 cifra 4 CPS. assegna al condannato il termine di tre mesi per il pagamento della multa e lo avverte che in caso di mancato pagamento entro il termine la pena sarà commutata in arresto. non revoca il beneficio della sospensione condizionale della pena di 45 giorni di detenzione decretata nei suoi confronti dal Ministero Pubblico in data 15.04.2002, ma ne prolunga il periodo di prova di 1 anno.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________________, Avv. _________________________, Procuratore pubblico Antonio Perugini, __________________, Comando della Polizia cantonale, Bellinzona, Sezione esecuzione pene e misure, Torricella, Servizio di coordinamento cantonale in materia di casellario giudiziale, Bellinzona. La sentenza è definitiva. Il giudice:                                                                     Il segretario: Distinta spese                    a carico di ______________, fr. 1000.00 multa fr.                  350.00            tassa di giustizia fr.                  350.00            spese giudiziarie fr.                1700.00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