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10.2003.677 vom 18. Februar 2005</w:t>
      </w:r>
    </w:p>
    <w:p>
      <w:r>
        <w:t>TI Tribunale d'appello, 2005-02-18, IT</w:t>
      </w:r>
    </w:p>
    <w:p>
      <w:r>
        <w:rPr>
          <w:b/>
        </w:rPr>
        <w:t xml:space="preserve">Quelle: </w:t>
      </w:r>
      <w:r>
        <w:t>https://mcp.opencaselaw.ch/entscheid/ti_gerichte_10.2003.677</w:t>
      </w:r>
    </w:p>
    <w:p>
      <w:r>
        <w:t>FR: TI_GERICHTE 10.2003.677 du 18 février 2005</w:t>
      </w:r>
    </w:p>
    <w:p>
      <w:r>
        <w:t>IT: TI_GERICHTE 10.2003.677 del 18 febbraio 2005</w:t>
      </w:r>
    </w:p>
    <w:p>
      <w:pPr>
        <w:pStyle w:val="Heading2"/>
      </w:pPr>
      <w:r>
        <w:t>Erwägungen</w:t>
      </w:r>
    </w:p>
    <w:p>
      <w:r>
        <w:rPr>
          <w:b/>
        </w:rPr>
        <w:t>E. 28</w:t>
      </w:r>
    </w:p>
    <w:p>
      <w:r>
        <w:t>aprile 2003 avesse ostacolato il recupero fisico a causa del suo tabagismo; secondariamente, almeno fino al 28 aprile 2003 (per quasi nove mesi), la vittima, un giovane di ventisei anni (la cui velocità di guarigione è notoriamente maggiore rispetto a quella di un persona in età più avanzata), ha collaborato con i sanitari in modo apprezzabile; in terzo luogo, lobbligo di abbandonare il tabacco è stato sostenuto solo dal dott. __________, il quale si esprimeva, il 23 aprile 2003, nelle vesti di medico di circondario per lassicurazione SUVA (cfr. doc. 68 dellinc. SUVA). Daltronde, si ribadisce che il signor __________ ha partecipato a numerose visite mediche (cfr.supra) e si è prodigato per migliorare il suo stato di salute (cfr. ad es. doc. 26, pag. 2 dellinc. SUVA, dove si evidenzia che il paziente si è impegnato con motivazione nel programma riabilitativo propostogli e la degenza non ha presentato particolarità degne di rilievo per quanto concerne la gestione clinica).</w:t>
      </w:r>
    </w:p>
    <w:p>
      <w:r>
        <w:t>Non vi sono dunque motivi per attribuire alla vittima una responsabilità per la durata della sua inattività lavorativa o della degenza in clinica e in ospedale.</w:t>
      </w:r>
    </w:p>
    <w:p>
      <w:r>
        <w:t>1.6.     In conclusione, questo giudice ritiene le lesioni patite dalla vittima siccome lesioni gravi ai sensi dellart. 125 cpv. 2 CPS e le stesse sono da ricondurre allincidente di cui il signor ACCU 1 è stato protagonista colpevole per negligenza (cfr.infra, ad eccezione delle lesioni al volto).</w:t>
      </w:r>
    </w:p>
    <w:p>
      <w:r>
        <w:t>2.     Occorre ora stabilire se, nel caso in esame, è ravvisabile una negligenza perpetrata dal prevenuto durante la sua manovra di svolta a sinistra.</w:t>
      </w:r>
    </w:p>
    <w:p>
      <w:r>
        <w:t>2.1.     Lart. 125 cpv. 1 CPS punisce, a querela di parte, con la detenzione o con la multa chi per negligenza cagiona un danno al corpo o alla salute duna persona. Se la lesione è grave, il colpevole è perseguito dufficio (cpv. 2).</w:t>
      </w:r>
    </w:p>
    <w:p>
      <w:r>
        <w:t>a)     Giusta l'art. 18 cpv. 3 CPS, commette un crimine o un delitto per negligenza colui che, per un'imprevidenza colpevole, non ha scorto le conseguenze della sua azione e non ne ha tenuto conto. L'imprevidenza è colpevole, secondo questa stessa disposizione, se l'agente non ha usato le precauzioni alle quali era tenuto secondo le circostanze e le sue condizioni personali. Un comportamento viola i doveri di prudenza quando l'autore, al momento dei fatti, avrebbe potuto, tenuto conto delle sue conoscenze e delle sue capacità, rendersi conto della messa in pericolo altrui e ha contemporaneamente oltrepassato i limiti del rischio ammissibile (cfr. DTF 127 IV 62, 64-65 consid. 2d;126 IV 13, 16-17 consid. 7a/bb;Trechsel, op. cit., ad art. 18 N 28a e 33). Per determinare quali sono i doveri imposti dalla prudenza, ci si può riferire alle disposizioni legali emanate a salvaguardia della sicurezza e per evitare gli incidenti. Nella fattispecie vanno considerate innanzitutto le norme sulla circolazione stradale (cfr. DTF inedita del 14 ottobre 2003 dellinc. 6S.297/2003, consid. 3.1;Trechsel, op. cit., ad art. 18 N 29).</w:t>
      </w:r>
    </w:p>
    <w:p>
      <w:r>
        <w:t>b)     Secondo l'art. 34 cpv. 3 LCStr, il conducente che vuole cambiare direzione di marcia, ad esempio per voltare, sorpassare, mettersi in preselezione, passare da una corsia ad un'altra, deve badare ai veicoli che giungono in senso inverso e a quelli che seguono.</w:t>
      </w:r>
    </w:p>
    <w:p>
      <w:r>
        <w:t>D'altra parte, secondo il principio dell'affidamento dedotto dall'art. 26 LCStr, nella circolazione ogni utente della strada può  premesso che ne abbia rispettato i canoni  confidare nel corretto comportamento degli altri utenti, nella misura in cui non vi siano indizi per ritenere il contrario (cfr. art. 26 cpv. 2 LCStr;Trechsel, op. cit., ad art. 18 N 32). Secondo la giurisprudenza dellAlta Corte, ove, per decidere se un utente della strada abbia violato una norma della circolazione, occorre stabilire se egli avesse potuto aspettarsi un comportamento conforme alla legge di un altro utente della strada, non può essergli negato il diritto di invocare il principio dell'affidamento per il motivo che egli stesso non si è comportato conformemente alle norme della circolazione. Così, anche chi è tenuto a dare la precedenza può invocare il principio dell'affidamento quando chi gode del diritto di precedenza violi le norme della circolazione in modo imprevedibile per il debitore della precedenza (cfr. DTF inedita del 14 ottobre 2003 dellinc. 6S.297/2003, consid.3.2;Bussy, Rusconi, Code suisse de la circulation routière, Losanna 1996, ad art. 26 N 4.1).</w:t>
      </w:r>
    </w:p>
    <w:p>
      <w:r>
        <w:t>aa)     L'obbligo di badare ai veicoli che seguono deve essere inteso nel senso di "non metterli in pericolo", specie quando questi sono in fase di sorpasso (cfr. DTF 125 IV 83, 84 consid. 1a;Bussy, Rusconi, op. cit., ad art. 34 N 3.1 e 3.2). Il conducente di un veicolo che intende voltare a sinistra non ha soltanto l'obbligo di segnalare con l'apposito dispositivo la sua intenzione di effettuare il cambiamento di direzione ma è anche tenuto, in principio, a dare la precedenza all'altro veicolo che, sopraggiungendo da tergo, si prepari al sorpasso o abbia già iniziato la manovra di sorpasso per proseguire nella stessa direzione. In questa evenienza, egli deve arrestarsi, o, se del caso, rimanere fermo, per non intralciare la manovra di sorpasso dell'altro conducente che beneficia della precedenza (v.Bussy, Rusconi, op. cit., ad art. 35 N 2.24). Una corretta manovra di svolta presuppone losservanza di condizioni molto severe (cfr.BUSSY, RUSCONI, op. cit., ad art. 35 N 2.6), va valutata a dipendenza delle circostanze di luogo e di visibilità (cfr. DTF 125 IV 83, 84-85 consid. 1a; 100 IV 186, 188 consid. 2a; 91 IV 10, 12 consid. 4) e si articola in tal guisa:</w:t>
      </w:r>
    </w:p>
    <w:p>
      <w:r>
        <w:t>In conclusione, laccusato si duole di una violazione degli art. 18 cpv. 3 e 125 CPS, nonché delle nozioni di diritto federale di causalità adeguata e di interruzione del nesso causale. Egli contesta la materialità dell'infrazione; afferma infatti di aver effettuato una regolare preselezione prima di svoltare a sinistra, esponendo per tempo il segnale di direzione e accertandosi che sia in senso contrario sia da tergo non giungessero altri veicoli. Asserisce che, contrariamente a quanto ritenuto dalla vittima, la collisione è dovuta al fatto che il coprotagonista, in possesso solo del patentino, ha effettuato un'errata manovra di sorpasso, senza avvedersi delle evidenti intenzioni di svoltare a sinistra del prevenuto. Pertanto, non gli si potrebbe imputare una violazione dell'art. 34 cpv. 3 LCStr; anzi, la sua condotta era regolare anche in virtù del principio dell'affidamento dedotto dall'art. 26 LCStr, secondo cui egli poteva attendersi un guida corretta da parte del motociclista il quale, per eseguire correttamente la manovra di sorpasso, avrebbe dovuto attendere che il prevenuto portasse a compimento la sua manovra di svolta a sinistra.</w:t>
      </w:r>
    </w:p>
    <w:p>
      <w:r>
        <w:t>5.2.     Nel caso in esame, ai fini della commisurazione della pena, giova considerare che laccusato è andato, il giorno successivo al sinistro, a visitare la vittima, che è incensurato e che ha destato al dibattimento una buona impressione. Egli ha pure collaborato con la pubblica sicurezza fin dallinizio e la sua reputazione personale e professionale (disegnatore attivo da anni prima presso uno studio di architettura a Mendrisio, poi presso uno a Lugano) non dà adito ad alcuna critica. Infine, si rileva che per laccusato si tratta del primo incidente, provocato per negligenza, da quando egli dispone della patente di guida. A suo sfavore depone invece il fatto di essersi reso colpevole di uninfrazione commessa per negligenza con gravi conseguenze per la il signor __________: egli non ha rispettato le precise prescrizioni dettate dalla LCStr in caso di manovra di svolta a sinistra, ed ha causato le molteplici lesioni riportate dalla vittima. Anche laver spostato la propria autovettura senza prima demarcare la posizione finale della stessa subito dopo lincidente, non gioca a favore dellimputato (cfr. art. 51 LCStr e 56 cpv. 1 ONC). Appare peraltro notorio lobbligo, in caso di incidente con conseguenti danni materiali o corporali, di mantenere intatto lo stato di fatto dei luoghi. Al dibattimento, il signor ACCU 1 (conducente dal 1981) ha sostenuto di aver spostato il suo veicolo per reazione, che era spaventato e di non comprendere perché si fosse comportato così. Pur riconoscendo la particolare situazione in cui egli si trovava e lo stato di spavento e shock cui era sottoposto il prevenuto nei frangenti immediatamente successivi al sinistro, lo spostamento della vettura, ancorché non intenzionale, non gli reca beneficio nella commisurazione della pena, avendo ciò complicato e reso difficoltoso la ricostruzione dei fatti (segnatamente tramite uneventuale perizia).</w:t>
      </w:r>
    </w:p>
    <w:p>
      <w:r>
        <w:t>5.3.    Sulla scorta di tali considerazioni, questo giudice ritiene adeguata la pena della multa a fr. 1'000.- (cfr. art. 125 CPS). La condanna al pagamento della multa sarà iscritta a casellario giudiziale e cancellata entro un anno, se l'imputato avrà pagato la multa e tenuto buona condotta (cfr. art. 49 cifra 4 CPS). Per il pagamento di tale ammenda, al condannato verrà assegnato un termine di tre mesi, con lavvertenza che, in caso di mancato pagamento entro il termine, la pena sarà commutata in arresto (cfr. art. 49 cifra 1 e 3 CPS).</w:t>
      </w:r>
    </w:p>
    <w:p>
      <w:r>
        <w:t>6.    La parte civile, al dibattimento, ha postulato il risarcimento del danno patito a seguito del danneggiamento della motocicletta. La stessa non ha tuttavia offerto alcun oggettivo riscontro per sostanziare la titolarità del credito insinuato (al momento dei fatti la motocicletta era del signor __________, __________) e lentità della sua pretesa. Pertanto, apparendo insufficienti i dati per giudicare tale pretesa, pare giustificato rinviare la parte civile, per ogni sua domanda, al competente foro civile (cfr. art. 267 cpv. 1 combinato con lart. 273 CPP).</w:t>
      </w:r>
    </w:p>
    <w:p>
      <w:r>
        <w:t>Per tutti questi motivi,</w:t>
      </w:r>
    </w:p>
    <w:p>
      <w:r>
        <w:t>visti                                   gli art. 18 cpv. 3, 36, 48, 49, 63, 122, 125 cpv. 2 CPS; 26 cpv. 1, 34 cpv. 3, 35, 36 cpv. 3, 39 cpv. 1 e 2 LCStr; 1 cpv. 8 e 3 cpv. 1 ONC; 73 OSStr; 9 e segg., 267, 273 e segg. CPP; 39 LTG;</w:t>
      </w:r>
    </w:p>
    <w:p>
      <w:r>
        <w:t>rispondendo                       affermativamente ai quesiti posti n. 1.1 e 4 e negativamente al quesito n. 5, ritenuti superati i quesiti n. 1.2, 1.3 e 3;</w:t>
      </w:r>
    </w:p>
    <w:p>
      <w:r>
        <w:t>dichiaraACCU 1</w:t>
      </w:r>
    </w:p>
    <w:p>
      <w:r>
        <w:t>autore colpevole di lesioni colpose gravi, reato previsto dallart. 125 cpv. 2 CPS,</w:t>
      </w:r>
    </w:p>
    <w:p>
      <w:r>
        <w:t>per avere, per imprevidenza colpevole, a Chiasso il 2 agosto 2002, cagionato lesioni gravi al motociclista __________ allorquando, alla guida della sua vettura VW Golf targata __________, in fase di svolta a sinistra, omise di avvistare per tempo il motociclista __________ sopraggiungente da tergo con il motoveicolo Yamaha targato __________ il quale stava eseguendo la manovra di sorpasso, cagionando così la collisione fra i rispettivi veicoli.</w:t>
      </w:r>
    </w:p>
    <w:p>
      <w:r>
        <w:t>E condanna                      ACCU 1,</w:t>
      </w:r>
    </w:p>
    <w:p>
      <w:r>
        <w:t>1.  alla multa di fr. 1'000.- (mille).</w:t>
      </w:r>
    </w:p>
    <w:p>
      <w:r>
        <w:t>2.  Al pagamento delle tasse e spese giudiziarie di complessivi fr. 1000.- (mille), di cui fr. 300.- per spese del Ministero pubblico.</w:t>
      </w:r>
    </w:p>
    <w:p>
      <w:r>
        <w:t>Ordinal'iscrizione della condanna a casellario giudiziale, che sarà cancellata entro un anno, se l'imputato avrà pagato la multa e tenuto buona condotta (art. 49 cifra 4 CPS).</w:t>
      </w:r>
    </w:p>
    <w:p>
      <w:r>
        <w:t>Assegnaal condannato il termine di tre mesi per il pagamento della multa e lo avverte che in caso di mancato pagamento entro il termine la pena sarà commutata in arresto (art. 49 cifra 1 e 3 CPS).</w:t>
      </w:r>
    </w:p>
    <w:p>
      <w:r>
        <w:t>Rinviala parte civile per tutte le sue pretese fatte valere in questa sede al competente foro civile.</w:t>
      </w:r>
    </w:p>
    <w:p>
      <w:r>
        <w:t>Le parti                              sono state avvertite del diritto di presentare, per il tramite di questo giudice, dichiarazione di ricorso alla Corte di cassazione e revisione penale entro il termine di cinque giorni e del diritto di richiedere entro lo stesso termine la motivazione della sentenza (art. 276 cpv. 2 CPP).</w:t>
      </w:r>
    </w:p>
    <w:p>
      <w:r>
        <w:t>La motivazione del ricorso per cassazione deve essere presentata a questo giudice, in tre esemplari, entro 20 giorni dalla notificazione della sentenza scritta, con la precisa indicazione dei motivi e delle norme di legge che si ritengono lese (art. 289 cpv. 2 CPP).</w:t>
      </w:r>
    </w:p>
    <w:p>
      <w:r>
        <w:t>Intimazione a:</w:t>
      </w:r>
    </w:p>
    <w:p>
      <w:r>
        <w:t>Ministero pubblico della Confederazione, Berna</w:t>
      </w:r>
    </w:p>
    <w:p>
      <w:r>
        <w:t>e,                                      alla crescita in giudicato della sentenza,</w:t>
      </w:r>
    </w:p>
    <w:p>
      <w:r>
        <w:t>intimazione a:                    Comando della Polizia cantonale, Bellinzona,</w:t>
      </w:r>
    </w:p>
    <w:p>
      <w:r>
        <w:t>Sezione esecuzione pene e misure, Torricella,</w:t>
      </w:r>
    </w:p>
    <w:p>
      <w:r>
        <w:t>Servizio di coordinamento cantonale in materia di casellario giudiziale, Bellinzona,</w:t>
      </w:r>
    </w:p>
    <w:p>
      <w:r>
        <w:t>Ufficio del Giudice dell'istruzione e dell'arresto, Lugano.</w:t>
      </w:r>
    </w:p>
    <w:p>
      <w:r>
        <w:t>Il giudice supplente:                                                                  Il segretario:</w:t>
      </w:r>
    </w:p>
    <w:p>
      <w:r>
        <w:t>Distinta spese                    a carico di ACCU 1</w:t>
      </w:r>
    </w:p>
    <w:p>
      <w:r>
        <w:t>fr.                       750.00       tassa di giustizia</w:t>
      </w:r>
    </w:p>
    <w:p>
      <w:r>
        <w:t>fr.                       250.00       spese giudiziarie</w:t>
      </w:r>
    </w:p>
    <w:p>
      <w:r>
        <w:t>fr.                     1000.00       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