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10.2003.311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https://mcp.opencaselaw.ch/entscheid/ti_gerichte_10.2003.311</w:t>
      </w:r>
    </w:p>
    <w:p>
      <w:r>
        <w:t>FR: TI_GERICHTE 10.2003.311 du 3 septembre 2003</w:t>
      </w:r>
    </w:p>
    <w:p>
      <w:r>
        <w:t>IT: TI_GERICHTE 10.2003.311 del 3 settembre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tassa di giustizia di fr. 50.00 e le spese relative alla presente decisione sono a carico dell'opponente.</w:t>
      </w:r>
    </w:p>
    <w:p>
      <w:r>
        <w:rPr>
          <w:b/>
        </w:rPr>
        <w:t>E. 4</w:t>
      </w:r>
    </w:p>
    <w:p>
      <w:r>
        <w:t>Intimazione a: __________ __________ __________ __________, __________, __________, Procuratore pubblico Antonio Perugini, Viale __________, __________, Avv. __________, __________ __________, Il presidente:                                                                La segretaria: Distinta spese:                   Tassa di giustizia                 fr.      50.00 Spese giudiziarie                 fr.      30.00 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