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10.2003.291 vom 13. Mai 2003</w:t>
      </w:r>
    </w:p>
    <w:p>
      <w:r>
        <w:t>TI Tribunale d'appello, 2003-05-13, IT</w:t>
      </w:r>
    </w:p>
    <w:p>
      <w:r>
        <w:rPr>
          <w:b/>
        </w:rPr>
        <w:t xml:space="preserve">Quelle: </w:t>
      </w:r>
      <w:r>
        <w:t>https://mcp.opencaselaw.ch/entscheid/ti_gerichte_10.2003.291</w:t>
      </w:r>
    </w:p>
    <w:p>
      <w:r>
        <w:t>FR: TI_GERICHTE 10.2003.291 du 13 mai 2003</w:t>
      </w:r>
    </w:p>
    <w:p>
      <w:r>
        <w:t>IT: TI_GERICHTE 10.2003.291 del 13 maggio 2003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DA __________/__________è annullato e non si fa luogo a procedimento penale nei confronti di Roberto __________ per i fatti del 29 novembre 2002 a __________.</w:t>
      </w:r>
    </w:p>
    <w:p>
      <w:r>
        <w:rPr>
          <w:b/>
        </w:rPr>
        <w:t>E. 2</w:t>
      </w:r>
    </w:p>
    <w:p>
      <w:r>
        <w:t>Non si prelevano né tasse né spese.</w:t>
      </w:r>
    </w:p>
    <w:p>
      <w:r>
        <w:rPr>
          <w:b/>
        </w:rPr>
        <w:t>E. 3</w:t>
      </w:r>
    </w:p>
    <w:p>
      <w:r>
        <w:t>Intimazione a: __________, Via __________ __________, __________, Procuratore pubblico Antonio Perugini, Viale __________, __________, __________ SA, Via __________ __________, __________, Il presidente:                                                                            La segretaria: Avvertenza: contro il presente giudizio può essere interposto ricorso per cassazione alla Corte di cassazione e revisione penale. Il ricorso deve essere presentato al giudice della Pretura penale, in triplice esemplare, entro venti giorni dalla notificazione della sentenza, con la precisa indicazione dei motivi e delle norme di legge che si ritengono lese.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