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10.2003.142 vom 14. Mai 2003</w:t>
      </w:r>
    </w:p>
    <w:p>
      <w:r>
        <w:t>TI Tribunale d'appello, 2003-05-14, IT</w:t>
      </w:r>
    </w:p>
    <w:p>
      <w:r>
        <w:rPr>
          <w:b/>
        </w:rPr>
        <w:t xml:space="preserve">Quelle: </w:t>
      </w:r>
      <w:r>
        <w:t>https://mcp.opencaselaw.ch/entscheid/ti_gerichte_10.2003.142</w:t>
      </w:r>
    </w:p>
    <w:p>
      <w:r>
        <w:t>FR: TI_GERICHTE 10.2003.142 du 14 mai 2003</w:t>
      </w:r>
    </w:p>
    <w:p>
      <w:r>
        <w:t>IT: TI_GERICHTE 10.2003.142 del 14 maggio 2003</w:t>
      </w:r>
    </w:p>
    <w:p>
      <w:pPr>
        <w:pStyle w:val="Heading2"/>
      </w:pPr>
      <w:r>
        <w:t>Erwägungen</w:t>
      </w:r>
    </w:p>
    <w:p>
      <w:r>
        <w:rPr>
          <w:b/>
        </w:rPr>
        <w:t>E. 7</w:t>
      </w:r>
    </w:p>
    <w:p>
      <w:r>
        <w:t>dicembre 2002 a __________; reato previsto                      dall'art. 91 cpv. 1 LCS, art. 91 cpv. 3 LCS; e meglio                            come al decreto d’accusa n. DA __________/__________ di data __________ 2003 del Procuratore pubblico Antonio Perugini, __________ , ritenuto                              che la procedura in esame deve essere congiunta con altra procedura pendente presso il Ministero Pubblico; che il presente procedimento deve perciò essere stralciato dai ruoli; pronuncia: 1. Il procedimento penale promosso con DA __________/__________ contro __________ __________, __________.__________.1942, __________ __________, è stralciato dai ruoli. 2. L'incarto è trasmesso per competenza al Ministero Pubblico. 3. Intimazione a: __________ __________, Via __________, __________ __________ __________, Procuratore pubblico Antonio Perugini, __________, __________, Procuratore pubblico Moreno Capella, Via __________ __________, __________, 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