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10.2002.251 vom 25. Juli 2003</w:t>
      </w:r>
    </w:p>
    <w:p>
      <w:r>
        <w:t>TI Tribunale d'appello, 2003-07-25, IT</w:t>
      </w:r>
    </w:p>
    <w:p>
      <w:r>
        <w:rPr>
          <w:b/>
        </w:rPr>
        <w:t xml:space="preserve">Quelle: </w:t>
      </w:r>
      <w:r>
        <w:t>https://mcp.opencaselaw.ch/entscheid/ti_gerichte_10.2002.251</w:t>
      </w:r>
    </w:p>
    <w:p>
      <w:r>
        <w:t>FR: TI_GERICHTE 10.2002.251 du 25 juillet 2003</w:t>
      </w:r>
    </w:p>
    <w:p>
      <w:r>
        <w:t>IT: TI_GERICHTE 10.2002.251 del 25 luglio 2003</w:t>
      </w:r>
    </w:p>
    <w:p>
      <w:pPr>
        <w:pStyle w:val="Heading2"/>
      </w:pPr>
      <w:r>
        <w:t>Volltext</w:t>
      </w:r>
    </w:p>
    <w:p>
      <w:r>
        <w:t>Incarto n.10.2002.251/KRM</w:t>
      </w:r>
    </w:p>
    <w:p>
      <w:r>
        <w:t>10.2003.455</w:t>
      </w:r>
    </w:p>
    <w:p>
      <w:r>
        <w:t>DAC 605/2002</w:t>
      </w:r>
    </w:p>
    <w:p>
      <w:r>
        <w:t>DA 2440/2003</w:t>
      </w:r>
    </w:p>
    <w:p>
      <w:r>
        <w:t>Bellinzona</w:t>
      </w:r>
    </w:p>
    <w:p>
      <w:r>
        <w:t>25 luglio 2003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Paola Belloli in qualità di segretaria, per giudicare</w:t>
      </w:r>
    </w:p>
    <w:p>
      <w:r>
        <w:t>__________ __________ __________,__________.1975, di __________ e __________ n. __________, nato a __________ /__________, attinente di __________ /__________, domiciliato a __________, Via __________ __________, celibe, venditore</w:t>
      </w:r>
    </w:p>
    <w:p>
      <w:r>
        <w:t>patr. da: Avv. __________ __________,__________,</w:t>
      </w:r>
    </w:p>
    <w:p>
      <w:r>
        <w:t>prevenuto colpevole di         infrazione alla LF sugli stupefacenti;</w:t>
      </w:r>
    </w:p>
    <w:p>
      <w:r>
        <w:t>fatti avvenuti                       nel periodo giugno 2001 / 3.5.2002 a __________, __________ e altre località non meglio precisate;</w:t>
      </w:r>
    </w:p>
    <w:p>
      <w:r>
        <w:t>reato previsto                     dall'art. 19 cifra 1 LStup;</w:t>
      </w:r>
    </w:p>
    <w:p>
      <w:r>
        <w:t>perseguito                         con decreto daccusa n. DAC __________/__________ di data __________ 2002 del Procuratore pubblico Marco Villa,__________, che propone la condanna dell'accusato:</w:t>
      </w:r>
    </w:p>
    <w:p>
      <w:r>
        <w:t>1.  Alla pena di 60 (sessanta) giorni di detenzione sospesa condizionalmente per un periodo di prova 2 anni.</w:t>
      </w:r>
    </w:p>
    <w:p>
      <w:r>
        <w:t>2.  Al pagamento della tassa di giustizia di fr. 150.-- e delle spese giudiziarie di fr. 250.--.</w:t>
      </w:r>
    </w:p>
    <w:p>
      <w:r>
        <w:t>3.  Non revoca il beneficio della sospensione condizionale concesso alla pena di 1 mese di detenzione e fr. 1'500.-- di multa decretata nei suoi confronti dal __________ __________ __________ -__________ il 3.02.2000, ma ne prolunga di 1 anno il periodo di prova.</w:t>
      </w:r>
    </w:p>
    <w:p>
      <w:r>
        <w:t>e</w:t>
      </w:r>
    </w:p>
    <w:p>
      <w:r>
        <w:t>prevenuto colpevole di         ripetuta infrazione alla LF sugli stupefacenti e ripetuta infrazione alla LF sugli stupefacenti;</w:t>
      </w:r>
    </w:p>
    <w:p>
      <w:r>
        <w:t>fatti avvenuti                       nel periodo febbraio 2002 / 25 marzo 2003 a __________, __________, __________ e in altre imprecisate località;</w:t>
      </w:r>
    </w:p>
    <w:p>
      <w:r>
        <w:t>reati previsti                       dagli art. 19 cifra 1 LStup e 19a cifra 1 LStup;</w:t>
      </w:r>
    </w:p>
    <w:p>
      <w:r>
        <w:t>perseguito                         con decreto daccusa n. DA __________/__________ di data __________ 2003 del Procuratore pubblico Antonio Perugini, __________, che propone la condanna dell'accusato, a valere quale pena totalmente aggiuntiva a quella inflittagli con DAC __________/__________:</w:t>
      </w:r>
    </w:p>
    <w:p>
      <w:r>
        <w:t>1.  Alla pena di 90 (novanta) giorni di detenzione sospesa condizionalmente per un periodo di prova 2 anni.</w:t>
      </w:r>
    </w:p>
    <w:p>
      <w:r>
        <w:t>2.  Al pagamento della tassa di giustizia di fr. 100.-- e delle spese giudiziarie di fr. 200.--.</w:t>
      </w:r>
    </w:p>
    <w:p>
      <w:r>
        <w:t>viste                                  le opposizioni interposte tempestivamente in data 16 settembre 2002 e 18 luglio 2003 dall'accusato;</w:t>
      </w:r>
    </w:p>
    <w:p>
      <w:r>
        <w:t>consideratoche giusta l'art. 207 CPP il decreto di accusa formalizza il deferimento dell'accusato al giudice della Pretura penale in materia di contravvenzioni, come pure per i delitti e i crimini, nei casi di lieve entità, quando il Procuratore pubblico ritiene adeguata la pena della detenzione non superiore a tre mesi, dell'arresto o della multa;</w:t>
      </w:r>
    </w:p>
    <w:p>
      <w:r>
        <w:t>che la competenza della Pretura penale è regolata dall'art. 29 LOG che recita al cpv. 1:</w:t>
      </w:r>
    </w:p>
    <w:p>
      <w:r>
        <w:t>"La Pretura penale giudica:</w:t>
      </w:r>
    </w:p>
    <w:p>
      <w:r>
        <w:t>a)  le contravvenzioni;</w:t>
      </w:r>
    </w:p>
    <w:p>
      <w:r>
        <w:t>b)  i delitti e i crimini per i quali il Procuratore pubblico abbia proposto la detenzione fino a tre mesi, l'arresto o la multa."</w:t>
      </w:r>
    </w:p>
    <w:p>
      <w:r>
        <w:t>che per i fatti imputati all'accusato è proposta complessivamente una pena di 150 giorni di detenzione;</w:t>
      </w:r>
    </w:p>
    <w:p>
      <w:r>
        <w:t>che di conseguenza la fattispecie esula dalla competenza di questo giudice;</w:t>
      </w:r>
    </w:p>
    <w:p>
      <w:r>
        <w:t>che gli atti vanno quindi ritornati al Ministero pubblico, affinché proceda all'emanazione di un atto di accusa giusta gli art. 199 e segg. CPP;</w:t>
      </w:r>
    </w:p>
    <w:p>
      <w:r>
        <w:t>pronuncia</w:t>
      </w:r>
    </w:p>
    <w:p>
      <w:r>
        <w:t>1.E' accertata l'incompetenza della Pretura penale.</w:t>
      </w:r>
    </w:p>
    <w:p>
      <w:r>
        <w:t>§Alla crescita in giudicato di questo giudizio gli atti sono ritrasmessi al Ministero pubblico, affinché proceda nei suoi incombenti.</w:t>
      </w:r>
    </w:p>
    <w:p>
      <w:r>
        <w:t>2.Non si prelevano né tasse né spese.</w:t>
      </w:r>
    </w:p>
    <w:p>
      <w:r>
        <w:t>3.Intimazione:</w:t>
      </w:r>
    </w:p>
    <w:p>
      <w:r>
        <w:t>- __________ __________, via __________ __________, __________</w:t>
      </w:r>
    </w:p>
    <w:p>
      <w:r>
        <w:t>- avv. __________ __________, via __________, __________ __________, __________</w:t>
      </w:r>
    </w:p>
    <w:p>
      <w:r>
        <w:t>- Procuratore pubblico Marco Villa, __________</w:t>
      </w:r>
    </w:p>
    <w:p>
      <w:r>
        <w:t>- Procuratore pubblico Antonio Perugini, __________</w:t>
      </w:r>
    </w:p>
    <w:p>
      <w:r>
        <w:t>Il presidente:                                                                            La segretaria:</w:t>
      </w:r>
    </w:p>
    <w:p>
      <w:r>
        <w:t>Avvertenza:contro il presente giudizio può essere interposto ricorso per cassazione alla Corte di cassazione e revisione penale. Il ricorso deve essere presentato al giudice della Pretura penale, in triplice esemplare, entro venti giorni dalla notificazione della sentenza, con la precisa indicazione dei motivi e delle norme di legge che si ritengono lese.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