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10.2002.225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https://mcp.opencaselaw.ch/entscheid/ti_gerichte_10.2002.225</w:t>
      </w:r>
    </w:p>
    <w:p>
      <w:r>
        <w:t>FR: TI_GERICHTE 10.2002.225 du 18 mars 2003</w:t>
      </w:r>
    </w:p>
    <w:p>
      <w:r>
        <w:t>IT: TI_GERICHTE 10.2002.225 del 18 marzo 2003</w:t>
      </w:r>
    </w:p>
    <w:p>
      <w:pPr>
        <w:pStyle w:val="Heading2"/>
      </w:pPr>
      <w:r>
        <w:t>Volltext</w:t>
      </w:r>
    </w:p>
    <w:p>
      <w:r>
        <w:t>Incarto n.10.2002.225/AMM</w:t>
      </w:r>
    </w:p>
    <w:p>
      <w:r>
        <w:t>DAC 537/2002</w:t>
      </w:r>
    </w:p>
    <w:p>
      <w:r>
        <w:t>Bellinzona</w:t>
      </w:r>
    </w:p>
    <w:p>
      <w:r>
        <w:t>18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13 agosto 2002 di</w:t>
      </w:r>
    </w:p>
    <w:p>
      <w:r>
        <w:t>__________ __________,di __________ e __________ -__________ __________ n. __________, nato il __________ 1971 a __________, attinente di __________, celibe, grafico, domiciliato a __________, __________ __________</w:t>
      </w:r>
    </w:p>
    <w:p>
      <w:r>
        <w:t>(difeso dall'avv. __________ __________,__________),</w:t>
      </w:r>
    </w:p>
    <w:p>
      <w:r>
        <w:t>interposta al decreto daccusa DAC __________/__________ di data __________ 2002 del Procuratore pubblico Antonio Perugini,__________,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     Non si preleva tassa di giustizia; le spese sono a carico dello Stato.</w:t>
      </w:r>
    </w:p>
    <w:p>
      <w:r>
        <w:t>3.     Intimazione a:</w:t>
      </w:r>
    </w:p>
    <w:p>
      <w:r>
        <w:t> __________ __________, per il tramite del difensore,</w:t>
      </w:r>
    </w:p>
    <w:p>
      <w:r>
        <w:t> avv. __________ __________, Via __________ __________, __________,</w:t>
      </w:r>
    </w:p>
    <w:p>
      <w:r>
        <w:t> Procuratore pubblico Antonio Perugini, __________.</w:t>
      </w:r>
    </w:p>
    <w:p>
      <w:r>
        <w:t>Il giudice:     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