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10.2002.165 vom 8. Oktober 2003</w:t>
      </w:r>
    </w:p>
    <w:p>
      <w:r>
        <w:t>TI Tribunale d'appello, 2003-10-08, IT</w:t>
      </w:r>
    </w:p>
    <w:p>
      <w:r>
        <w:rPr>
          <w:b/>
        </w:rPr>
        <w:t xml:space="preserve">Quelle: </w:t>
      </w:r>
      <w:r>
        <w:t>https://mcp.opencaselaw.ch/entscheid/ti_gerichte_10.2002.165</w:t>
      </w:r>
    </w:p>
    <w:p>
      <w:r>
        <w:t>FR: TI_GERICHTE 10.2002.165 du 8 octobre 2003</w:t>
      </w:r>
    </w:p>
    <w:p>
      <w:r>
        <w:t>IT: TI_GERICHTE 10.2002.165 del 8 ottobre 2003</w:t>
      </w:r>
    </w:p>
    <w:p>
      <w:pPr>
        <w:pStyle w:val="Heading2"/>
      </w:pPr>
      <w:r>
        <w:t>Erwägungen</w:t>
      </w:r>
    </w:p>
    <w:p>
      <w:r>
        <w:rPr>
          <w:b/>
        </w:rPr>
        <w:t>E. 1</w:t>
      </w:r>
    </w:p>
    <w:p>
      <w:r>
        <w:t>L'art. 146 cpv. 1 CP commina la reclusione sino a cinque anni o la detenzione a chiunque, per procacciare a sé o ad altri un indebito profitto, inganna con astuzia una persona affermando cose false o dissimulando cose vere, oppure ne conferma subdolamente l'errore inducendola in tal modo ad atti pregiudizievoli al patrimonio proprio o altrui. Può essere punito con pena attenuata (art. 65 CP) chi compie senza risultato tutti gli atti necessari alla consumazione d'un crimine o di un delitto (art. 22 cpv. 1 CP), come pure chi aiuta intenzionalmente altri a commetterlo (art. 25 CP). Il reato di truffa – cui la giurisprudenza assimila la truffa processuale (DTF 122 IV 197) – presuppone in particolare un inganno astuto. Tale requisito è adempiuto non solo qualora l'autore ordisca un tessuto di menzogne, faccia capo a manovre fraudolente o artifici, ma anche qualora egli rilasci semplicemente false informazioni; in siffatta evenienza occorre nondimeno che una verifica della vittima risulti impossibile, difficile o ragionevolmente inesigibile, o ancora che l'autore dissuada l'interessato dall'accertamento o preveda ch'egli vi rinunci in ragione di uno specifico rapporto di fiducia (DTF 128 IV 20 consid. 3a con richiami di giurisprudenza). Non occorre per il resto che la vittima abbia dato prova di tutta la diligenza richiesta dalle circostanze: è sufficiente che essa, pur osservando le più elementari regole di prudenza, non potesse evitare di incorrere nell'errore (DTF 126 IV 171 consid. 2a con rinvio; cfr. anche DTF inedita 6S.40/2003 del 6 maggio 2003, consid. 3.2).</w:t>
      </w:r>
    </w:p>
    <w:p>
      <w:r>
        <w:rPr>
          <w:b/>
        </w:rPr>
        <w:t>E. 2</w:t>
      </w:r>
    </w:p>
    <w:p>
      <w:r>
        <w:t>Il Procuratore pubblico rimprovera in sostanza all'accusato di avere attestato per brevetto notarile, in urto con la verità, " che le società _________ e _________ _________ _________ , __________, erano state costituite su mandato di _________, rispettivamente che quest'ultima ne era la beneficiaria economica fin dalla loro costituzione " (cfr. decreto d'accusa, pag. 1 verso il basso). L'imputato sapeva altresì, sempre stando all'autorità inquirente, che il brevetto notarile – richiestogli da _________ – sarebbe stato da lei prodotto nella causa successoria italiana nell'intento di ingannare il giudice su una circostanza di fatto rilevante per l'esito della lite. Le parti civili si allineano alla posizione del Procuratore pubblico, sottolineando che l'istruttoria ha permesso di accertare l'esistenza di tutti i fatti costitutivi del reato ravvisato nel decreto d'accusa. È dimostrato in particolare, a loro parere, che il contenuto del brevetto notarile è falso e l'interessato non poteva ignorarlo (documentazione agli atti e affermazioni contraddittorie rese dall'accusato), che il brevetto è stato allestito su richiesta di _________ (dichiarazione contenuta nel brevetto medesimo), che l'imputato conosceva l'intenzione di quest'ultima di produrre il brevetto nella causa successoria (verbale del 22 agosto 2000, pag. 4 a metà, nel classificatore 1, comparto 4) e che tale documento era di rilievo ai fini del giudizio civile (deposizioni testimoniali degli avv. __________ __________ e __________ __________). La difesa nega per converso la commissione del reato e conclude per il proscioglimento dell'accusato.</w:t>
      </w:r>
    </w:p>
    <w:p>
      <w:r>
        <w:rPr>
          <w:b/>
        </w:rPr>
        <w:t>E. 3</w:t>
      </w:r>
    </w:p>
    <w:p>
      <w:r>
        <w:t>A ragione il Procuratore pubblico e le parti civili ravvisano l'erroneità del brevetto notarile in merito all'avente diritto economico delle società litigiose "fin dalla loro costituzione". Dal fascicolo processuale emergono infatti elementi concordanti atti a comprovare che la _________ e la _________ _________ _________ sono appartenute, quanto meno sino al 1995, non a _________ ma al defunto ing. __________ _________: basti rilevare che i commercialisti italiani succedutisi nell'incarico di curare le posizioni fiscali delle società non si sono mai rivolti a _________, ma solo al defunto marito (cfr. segnatamente doc. 12, 14, 15, 16 e 17 allegati alla denuncia penale), che l'ing. _________ ha avuto modo di aiutare economicamente le figlie con averi provenienti dal conto corrente bancario della _________ _________ _________ (cfr. segnatamente i bonifici di cui al doc. 21 allegato alla denuncia), che le relazioni bancarie intestate a entrambe le società presso la __________ __________ __________ sono state alimentate, fino al 1995, con fondi di spettanza del defunto (cfr. i motivi posti a fondamento del decreto d'abbandono ABB __________/__________del ____________________ 2001, consid. 2, allegato alla lettera 30 settembre 2003 del patrocinatore delle parti civili) e che __________ _________ è stato finanche esplicitamente indicato dalla banca quale avente diritto economico dei valori in essere a nome delle _________ e _________ _________ _________ (cfr. le dichiarazioni complementari al formulario A del mese di marzo 1989 prodotte dal patrocinatore delle parti civili con la citata lettera del 30 settembre 2003). Sotto questo profilo, la tesi accusatoria merita dunque conferma.</w:t>
      </w:r>
    </w:p>
    <w:p>
      <w:r>
        <w:rPr>
          <w:b/>
        </w:rPr>
        <w:t>E. 4</w:t>
      </w:r>
    </w:p>
    <w:p>
      <w:r>
        <w:t>Il fatto è che l'imputato non ha fondato la "diretta conoscenza" del beneficiario delle società sui documenti appena evocati, della maggior parte dei quali egli ignorava per altro l'esistenza, ma su quanto riferitogli – personalmente – dallo stesso __________ _________, come risulta dal verbale d'interrogatorio del 22 agosto 2000 davanti al segretario giudiziario: " io non so dove si trovassero materialmente i certificati azionari delle due società. Io sapevo che le società erano servite per acquistare, tramite della __________, l'immobile sito a _________, dove abitavano l'ing. __________ e la signora _________. Immobile che a detta dell'ing. _________ doveva appartenere alla signora _________. Circostanza, questa, che mi è stata più volte confermata verbalmente dall'ing. __________ e che poi ho constatato, successivamente, di persona, al momento della consegna delle dichiarazioni di cessione in bianco dimostranti la titolarità della società, da parte della signora _________, nel maggio 1995 " (cfr. act. 1, pag. 3 nel mezzo, nel classificatore 1, comparto 4). L'interessato ha soggiunto, nel medesimo verbale, di avere attestato che " la _________ _________ _________ e la _________ erano state costituite su mandato della signora _________, rispettivamente che quest'ultima ne era la beneficiaria economica sin dal momento della loro costituzione […] perché così ne ero convinto e perché me lo aveva detto anche l'ingegnere " (act. citato, pag. 4 verso l'alto). L'accusato ha confermato in sostanza tali affermazioni anche al dibattimento, con la precisazione che ai colloqui con l'ingegnere soleva partecipare anche _________, la quale lasciava però di regola parlare il marito com'era allora consuetudine. La difesa ha sottolineato altresì che agli inizi degli anni Settanta, all'epoca della costituzione delle società in rassegna, era perfettamente normale – in virtù dei rapporti allora vigenti fra la banca e il cliente – che l'istituto facesse affidamento alle dichiarazioni del cliente, delle quali non v'era né obbligo legale di verifica né motivo di dubitare. Ciò valeva a maggior ragione nelle relazioni tra l'accusato e il defunto ingegnere, che si conoscevano già dagli anni Sessanta e tra i quali si era instaurato un profondo rapporto di stima e di fiducia reciproca. Donde l'affermazione di cui al brevetto notarile sulla cognizione diretta del beneficiario economico delle società in origine, cui l'imputato associava – di riflesso – il mandante effettivo della costituzione (cfr. anche il verbale di udienza del 13 dicembre 2002, pag. 2 risposta 2, allegato alla lettera 30 settembre 2003 delle parti civili: " non ricordo se fu la signora _________ o suo marito a conferirmi l'incarico. Ricordo soltanto che la costituzione delle due società avvenne per conto della signora _________ "). L'imputato ha invero ammesso che, ripensando al contenuto della dichiarazione e all'uso che _________ intendeva farne, egli avrebbe dovuto esprimersi diversamente giacché le sue affermazioni avrebbero potuto essere malintese dal magistrato italiano. È vero altresì che dalla corrispondenza successiva al brevetto notarile emerge una certa indecisione dell'imputato (doc. 10 allegato alla denuncia). L'interessato ha avuto modo nondimeno di spiegare al riguardo " che dopo la sottoscrizione del documento di cui al doc. 7 mi è venuto qualche dubbio in merito, pensando al fatto che le _________en erano due. Di qui la riserva esposta nella mia lettera di cui al doc. 10 " (cfr. il verbale citato, pag. 4). Egli nega tuttavia recisamente di avere saputo – o anche solo immaginato – di affermare circostanze non vere nel momento in cui ha allestito la dichiarazione in rassegna (verbale citato, loc. cit.: " ribadisco comunque che al momento della sottoscrizione del brevetto notarile ero senz'altro certo di quanto dichiaravo "). E questo giudice, dopo aver vagliato gli atti istruttori e aver sentito personalmente l'imputato, non può giungere al convincimento che quest'ultimo abbia avuto intenzione, foss'anche solo per dolo eventuale, di attestare fatti inveritieri. Tanto meno è ravvisabile una qualsiasi intenzione dell'accusato – incensurato e, come si è potuto constatare al dibattimento, dotato di un profondo senso del dovere – di prestarsi al possibile tentativo perpetrato da _________ di trarre in inganno il giudice italiano nella lite successoria che la oppone alle parti civili. Egli non avrebbe avuto del resto nessun interesse ad agire in tal modo, ben potendo immaginare le conseguenze penali che avrebbe potuto comportare una falsa attestazione, con il rischio per di più di infangare in fine carriera una solida reputazione maturata in oltre 40 anni di lavoro. Se ne conclude che l'imputato dev'essere prosciolto dall'accusa di complicità in truffa mancata, per difetto dei requisiti soggettivi del reato. Le spese sono poste a carico dello Stato (art. 9 cpv. 4 CPP). Per questi motivi,               visti gli art. 22, 25, 41, 63 e 146 cpv. 1 CP; 9 segg. e 273 segg. CPP; 39 LTG; rispondendo                       ai quesiti posti come segue: proscioglie _________ _________ dall'imputazione di complicità in truffa mancata per i fatti descritti nel decreto d'accusa DAP __________1/__________del ____________________ 2001; carica le spese allo Stato; 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 _________, _________, – avv. _________ _________, _________, – Procuratore pubblico Giuseppe Muschietti, __________, – _________ _________, per il tramite del patrocinatore, – _________ _________, per il tramite del patrocinatore, – _________ _________, per il tramite del patrocinatore, – avv. __________ __________, _________, – Ministero pubblico della Confederazione, __________, e, al passaggio in giudicato della sentenza, a – Comando della Polizia cantonale, __________, – Ufficio del Giudice dell'istruzione e dell'arresto, _________.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