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2012 Nr. 33 vom 29. März 2011</w:t>
      </w:r>
    </w:p>
    <w:p>
      <w:r>
        <w:t>Tg Obergericht, 2011-03-29, DE</w:t>
      </w:r>
    </w:p>
    <w:p>
      <w:r>
        <w:rPr>
          <w:b/>
        </w:rPr>
        <w:t xml:space="preserve">Quelle: </w:t>
      </w:r>
      <w:r>
        <w:t>https://mcp.opencaselaw.ch/entscheid/tg_obergericht_TVR_2012_Nr._33</w:t>
      </w:r>
    </w:p>
    <w:p>
      <w:r>
        <w:t>FR: TG_OBERGERICHT TVR 2012 Nr. 33 du 29 mars 2011</w:t>
      </w:r>
    </w:p>
    <w:p>
      <w:r>
        <w:t>IT: TG_OBERGERICHT TVR 2012 Nr. 33 del 29 marzo 2011</w:t>
      </w:r>
    </w:p>
    <w:p>
      <w:pPr>
        <w:pStyle w:val="Heading2"/>
      </w:pPr>
      <w:r>
        <w:t>Regeste</w:t>
      </w:r>
    </w:p>
    <w:p>
      <w:r>
        <w:t>Keine Kostenübernahme für ein MacBook Pro 17 Zoll als Hilfsmittel bei einer sehbehinderten Versicherten</w:t>
      </w:r>
    </w:p>
    <w:p>
      <w:pPr>
        <w:pStyle w:val="Heading2"/>
      </w:pPr>
      <w:r>
        <w:t>Erwägungen</w:t>
      </w:r>
    </w:p>
    <w:p>
      <w:r>
        <w:rPr>
          <w:b/>
        </w:rPr>
        <w:t>E. 2</w:t>
      </w:r>
    </w:p>
    <w:p>
      <w:r>
        <w:t>Die versicherte Person hat im Rahmen einer vom Bundesrat respektive vom Eidgenössischen Departement des Innern aufzustellenden Liste Anspruch auf jene Hilfsmittel, deren sie für die Ausübung der Erwerbstätigkeit oder Tätigkeit im Aufgabenbereich zur Erhaltung oder Verbesserung der Erwerbsfähigkeit, für die Schulung, die Aus- und Weiterbildung oder zum Zwecke der funktionellen Angewöhnung bedarf (Art. 21 Abs. 1 Satz 1 IVG und Art. 14 IVV). Gemäss Art. 2 Abs. 2 HVI besteht im Rahmen der im Anhang aufgeführten Liste Anspruch auf die mit (*) bezeichneten Hilfsmittel nur, wenn diese für die Ausübung einer Erwerbstätigkeit oder die Tätigkeit im Aufgabenbereich, für die Schulung, die Ausbildung, die funktionelle Angewöhnung oder für die in der zutreffenden Ziffer des Anhangs ausdrücklich genannte Tätigkeit notwendig sind. Blinden und hochgradig Sehschwachen können leihweise Abspielgeräte für Tonträger abgegeben werden, sofern sie bei der Ausübung einer Erwerbstätigkeit oder einer Tätigkeit im Aufgabenbereich invaliditätsbedingt notwendig sind (Ziff. 11.05* HVI-Anhang). Weiter gelten als Hilfsmittel am Arbeitsplatz unter anderem invaliditätsbedingte Arbeitsgeräte sowie Zusatzeinrichtungen, Zusatzgeräte und Anpassungen für die Bedienung von Apparaten und Maschinen (Ziff. 13.01* HVI-Anhang). Die Verwendung eines Computers und allfälliger Zusatzgeräte ist nicht invaliditätsbedingt, wenn diese auch von einer gesunden Person unter sonst gleichen Umständen benötigt werden, mit anderen Worten auch für eine nicht behinderte Person unerlässliche Arbeitsinstrumente darstellen (Urteil des Bundesgerichts 9C_211/2011 vom 5. Juli 2011, E. 2.2).</w:t>
      </w:r>
    </w:p>
    <w:p>
      <w:r>
        <w:rPr>
          <w:b/>
        </w:rPr>
        <w:t>E. 3</w:t>
      </w:r>
    </w:p>
    <w:p>
      <w:r>
        <w:t>(…)</w:t>
      </w:r>
    </w:p>
    <w:p>
      <w:r>
        <w:rPr>
          <w:b/>
        </w:rPr>
        <w:t>E. 4.1</w:t>
      </w:r>
    </w:p>
    <w:p>
      <w:r>
        <w:t>Die Invalidenversicherung gibt Hilfsmittel ab, soweit sie die Aus- und Weiterbildung ermöglichen oder erheblich erleichtern. Darunter fallen auch Aus- und Weiterbildungsvorkehren, welche die versicherte Person aus eigener Initiative absolviert (vgl. Art. 1a lit. c IVG). Voraussetzung ist, dass diese geeignet sind, die Erwerbsfähigkeit oder die Fähigkeit, im anerkannten Aufgabenbereich tätig zu sein, zu erhalten oder zu verbessern (Art. 21 Abs. 1 IVG). Den 2-jährigen Didaktiklehrgang an der ETH Zürich bezahlt die Beschwerdeführerin selber, die Habilitation wird von einer Stiftung finanziert. Beides soll der beruflichen Wiedereingliederung dienen, wie die Beschwerdeführerin ausdrücklich geltend macht.</w:t>
      </w:r>
    </w:p>
    <w:p>
      <w:r>
        <w:rPr>
          <w:b/>
        </w:rPr>
        <w:t>E. 4.2</w:t>
      </w:r>
    </w:p>
    <w:p>
      <w:r>
        <w:t>Dies kann im hier zu beurteilenden Zusammenhang hinsichtlich der Habilitation nicht bejaht werden. Wie die Rektorenkonferenz der Schweizer Universitäten (CRUS) im Mai 2011 erklärt hat, stellt die Habilitation als weitere akademische Qualifikation nach dem Doktorat nicht mehr die Voraussetzung für eine wissenschaftliche Laufbahn in der Schweiz dar. Auch bei Berufungsverfahren für Professuren an deutschsprachigen Universitäten verliert die Habilitation - welche in der Romandie und im angelsächsischen Raum kaum eine Rolle spielt - immer mehr an Bedeutung. Dies zeigt sich an der Zunahme von Stellenbesetzungen auf Ebene der Assistenzprofessur mit tenure-track (befristete akademische Position mit perspektivischer fester Anstellung; vgl. CRUS-NEWSLETTER NR. 20, Mai 2011; www.crus.ch). Zur Zulassung zur Lehrtätigkeit an einer Fachhochschule ist die Habilitation von vornherein nicht erforderlich (vgl. E. 4.3 nachfolgend).</w:t>
      </w:r>
    </w:p>
    <w:p>
      <w:r>
        <w:rPr>
          <w:b/>
        </w:rPr>
        <w:t>E. 4.3</w:t>
      </w:r>
    </w:p>
    <w:p>
      <w:r>
        <w:t>Gemäss Art. 12 Abs. 1 erster Satz des Bundesgesetzes über die Fachhochschulen vom 6. Oktober 1995 (Fachhochschulgesetz, FHSG; SR 414.71) müssen die Dozentinnen und Dozenten an Fachhochschulen sich über eine abgeschlossene Hochschulausbildung, über Forschungsinteresse sowie über eine didaktische Qualifikation ausweisen. Der Gesetzgeber hat bewusst darauf verzichtet, näher zu regeln, was unter didaktischer Qualifikation zu verstehen ist. Die Kommission des Ständerates hat sich dafür ausgesprochen, dies den zuständigen Organen der Fachhochschulträger zu übertragen (Amtliches Bulletin Ständerat 1995 911). In der Beratung im Nationalrat wurde gefordert, die Regelung dieser Frage den einzelnen Fachhochschulen zu überlassen (Amtliches Bulletin Nationalrat 1995 1768 f., insbesondere 1769, 1772). Entsprechend ist auf Verordnungsstufe des Bundes (Verordnung vom 11. September 1996 über Aufbau und Führung von Fachhochschulen [Fachhochschulverordnung, FHSV]; SR 414.711) nichts festgelegt.</w:t>
      </w:r>
    </w:p>
    <w:p>
      <w:r>
        <w:rPr>
          <w:b/>
        </w:rPr>
        <w:t>E. 4.3.1</w:t>
      </w:r>
    </w:p>
    <w:p>
      <w:r>
        <w:t>Gemäss dem Internet-Angebot „berufsberatung.ch“ des Schweizerischen Dienstleistungszentrums Berufsbildung, Berufs-, Studien- und Laufbahnberatung SDBB, einer im Bereich der Berufsbildung und der Berufsberatung tätigen Fachinstitution der Schweizerischen Konferenz der kantonalen Erziehungsdirektoren (EDK), wird heute von Fachhochschuldozentinnen und -dozenten didaktische Qualifikation und Lehr- bzw. Dozentenerfahrung auf Tertiärstufe (d.h. Stufe Hochschule oder höhere Fachschule) gefordert. Wie aus den Ausschreibungen von Dozentenstellen an Fachhochschulen im Juli 2012 hervor geht, werden die entsprechenden Erwartungen (falls überhaupt ausformuliert) umschrieben mit „Sie haben Freude am Unterrichten, können Lehrerfahrung nachweisen“ oder „Lehrerfahrung ist von Vorteil“ (Hochschule für Technik Rapperswil), „Erfahrung in der Lehre“ (Zürcher Hochschule für Angewandte Wissenschaften), „Lehrerfahrung oder eine (fach-)didaktische Ausbildung auf Tertiärstufe sind erwünscht“ (Berner Fachhochschule Technik und Informatik) oder „Lehrerfahrung auf Hochschulniveau und möglichst auch Erfahrung in der Weiterbildung“ (Fachhochschule Nordwestschweiz).</w:t>
      </w:r>
    </w:p>
    <w:p>
      <w:r>
        <w:rPr>
          <w:b/>
        </w:rPr>
        <w:t>E. 4.3.2</w:t>
      </w:r>
    </w:p>
    <w:p>
      <w:r>
        <w:t>Das von der Beschwerdeführerin anvisierte Didaktik-Zertifikat bescheinigt laut Angaben der ETH Zürich den erfolgreichen Abschluss einer didaktischen Grundausbildung im jeweiligen Fach. Es eignet sich für das Unterrichten an Höheren Fachschulen im Nebenberuf und Berufsfachschulen (jedoch nicht für Gymnasien). Ebenso ermöglicht diese Ausbildung auch die Übernahme von Ausbildungsmandaten bei Bundesämtern, Stiftungen und in Unternehmen. Die Erteilung des Didaktik-Zertifikats setzt einen entsprechenden universitären Master-Abschluss (bzw. ein abgeschlossenes Diplomstudium) und gegebenenfalls das Absolvieren zusätzlicher fachwissenschaftlicher Auflagen voraus (www.didaktische-ausbildung.ethz.ch/ausbildung/dz). Der Didaktiklehrgang der ETH Zürich eignet sich somit primär für die Unterrichtstätigkeit an Höheren Fachschulen und Berufsfachschulen, je nach der Erwartung eines Arbeitgebers allenfalls auch an einer Fachhochschule. Das Didaktik-Zertifikat ist aber, wie die Praxis zeigt, keine unabdingbare Voraussetzung dafür. Die Beschwerdeführerin behauptet denn auch nicht, sich für eine entsprechende Tätigkeit beworben zu haben und mangels eines Didaktik-Zertifikats abgewiesen worden zu sein.</w:t>
      </w:r>
    </w:p>
    <w:p>
      <w:r>
        <w:rPr>
          <w:b/>
        </w:rPr>
        <w:t>E. 4.4</w:t>
      </w:r>
    </w:p>
    <w:p>
      <w:r>
        <w:t>Nach dem Gesagten dienen weder die Habilitation noch der Didaktik-Lehrgang unerlässlicherweise dem Erhalt oder der Verbesserung der Erwerbsfähigkeit. Damit besteht ungeachtet der Frage nach den tatsächlichen Chancen auf dem Tätigkeitsgebiet an einer Fachhochschule und dessen allgemeiner Geeignetheit (vgl. E. 3 und 4.1 vorne) kein Anspruch auf das verlangte Hilfsmittel. Indem die Beschwerdeführerin „eine maximale Rechnerleistung und einen maximal grossen Bildschirm“ beansprucht, übersieht sie im Übrigen, dass nur Anspruch auf ein Hilfsmittel in einfacher und zweckmässiger Ausführung gegeben ist (Art. 21 Abs. 3 IVG), nicht aber auf die nach den Umständen bestmöglichen Vorkehren (statt vieler Urteil 9C_807/2010 vom 29. März 2011 E. 3). Insbesondere bedarf auch ein nicht behinderter Studiengänger zur Bewältigung der herrschenden Ausbildungsverhältnisse (ETHZ-Link, a.a.O.) eines leistungsstarken Notebooks.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