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22 (1. Teil) vom 1. Januar 2020</w:t>
      </w:r>
    </w:p>
    <w:p>
      <w:r>
        <w:t>Tg Obergericht, 2020-01-01, DE</w:t>
      </w:r>
    </w:p>
    <w:p>
      <w:r>
        <w:rPr>
          <w:b/>
        </w:rPr>
        <w:t xml:space="preserve">Quelle: </w:t>
      </w:r>
      <w:r>
        <w:t>https://mcp.opencaselaw.ch/entscheid/tg_obergericht_RBOG_2020_Nr._22__1._Teil_</w:t>
      </w:r>
    </w:p>
    <w:p>
      <w:r>
        <w:t>FR: TG_OBERGERICHT RBOG 2020 Nr. 22 (1. Teil) du 1 janvier 2020</w:t>
      </w:r>
    </w:p>
    <w:p>
      <w:r>
        <w:t>IT: TG_OBERGERICHT RBOG 2020 Nr. 22 (1. Teil) del 1 gennaio 2020</w:t>
      </w:r>
    </w:p>
    <w:p>
      <w:pPr>
        <w:pStyle w:val="Heading2"/>
      </w:pPr>
      <w:r>
        <w:t>Regeste</w:t>
      </w:r>
    </w:p>
    <w:p>
      <w:r>
        <w:t>Ein Schafstall als Geheim- oder Privatbereich; Tierschutz als Rechtfertigungsgrund</w:t>
      </w:r>
    </w:p>
    <w:p>
      <w:pPr>
        <w:pStyle w:val="Heading2"/>
      </w:pPr>
      <w:r>
        <w:t>Erwägungen</w:t>
      </w:r>
    </w:p>
    <w:p>
      <w:r>
        <w:rPr>
          <w:b/>
        </w:rPr>
        <w:t>E. 1</w:t>
      </w:r>
    </w:p>
    <w:p>
      <w:r>
        <w:t>a) Die Staatsanwaltschaft erhob Anklage gegen X und Y. Sie warf X vor, von seiner Liegenschaft aus den Privatkläger in seinem grundsätzlich gegen Einblicke geschützten Stall mit einer Videokamera mit erheblicher Zoomfunktion gefilmt zu haben. Zudem habe X die zuvor erstellten Videoaufnahmen Y überlassen. Diese Videoaufnahmen habe Y auf der Homepage des von ihm präsidierten Vereins veröffentlicht. Die Staatsanwaltschaft beantragte, X sei wegen mehrfacher Verletzung des Geheim- oder Privatbereichs durch Aufnahmegeräte nach Art. 179quater Abs. 1 und Abs. 2 StGB zu verurteilen; Y sei wegen (einfach begangener) Verletzung des Geheim- oder Privatbereichs durch Aufnahmegeräte nach Art. 179quater Abs. 3 StGB zu bestrafen. b) Das Bezirksgericht sprach X der mehrfachen und Y der einfachen Verletzung des Geheim- oder Privatbereichs durch Aufnahmegeräte nach Art. 179quater StGB schuldig. c) X und Y erhoben Berufung und verlangten je einen Freispruch. Die Staatsanwaltschaft beantragte die Abweisung der Berufungen.</w:t>
      </w:r>
    </w:p>
    <w:p>
      <w:r>
        <w:rPr>
          <w:b/>
        </w:rPr>
        <w:t>E. 2</w:t>
      </w:r>
    </w:p>
    <w:p>
      <w:r>
        <w:t>a) Wer eine Tatsache aus dem Geheimbereich eines anderen oder eine nicht jedermann ohne weiteres zugängliche Tatsache aus dem Privatbereich eines anderen ohne dessen Einwilligung mit einem Aufnahmegerät beobachtet oder auf einen Bildträger aufnimmt, wird gemäss Art. 179quater Abs. 1 StGB auf Antrag hin mit Freiheitsstrafe bis zu drei Jahren oder Geldstrafe bestraft. Ebenso wird laut Art. 179quater Abs. 2 StGB bestraft, wer eine Aufnahme, von der er weiss oder annehmen muss, dass sie durch eine strafbare Handlung gegen den Geheim- oder Privatbereich hergestellt wurde, auswertet oder einem Dritten bekannt gibt. Schliesslich macht sich nach Art. 179quater Abs. 3 StGB strafbar, wer solche Aufnahmen aufbewahrt oder Dritten zugänglich macht. b) aa) Das geschützte Rechtsgut ist der Privat- und Geheimbereich: Der Mensch soll in einer Atmosphäre der Zurückgezogenheit unbefangen und ungezwungen privaten, geheimen oder intimen Betätigungen nachgehen können, ohne dabei gegen seinen Willen beobachtet oder abgebildet zu werden[1]. Der Tatbestand dehnt damit den strafrechtlichen Schutz des gesprochenen Wortes[2] auf das Visuelle aus[3]. bb) Tatobjekt sind Tatsachen, das heisst wahrnehmbare Ereignisse und Zustände aus der Gegenwart oder der Vergangenheit[4]. Tatmittel ist jedes Gerät, das ein reproduzierbares Bild der betroffenen Person herstellt[5]. Das eigentliche Kernelement des Tatbestands ist indessen die Zugehörigkeit der – mittels Geräten aufgenommenen - Tatsachen zum Geheim- oder Privatbereich. Über den strafrechtlichen Schutz entscheidet im Grunde genommen die Frage, ob Aussenstehende die Tatsachen ohne weiteres beobachten können oder ob diese dem Geheim- und/oder dem Privatbereich zuzuordnen sind[6]. Der Tatbestand erweist sich damit in einem zentralen Punkt als eher unbestimmt. Aufgabe der Rechtsprechung ist es, ihm deutlichere Konturen zu verleihen[7]. c) aa) Die höchstrichterliche Rechtsprechung hat sich einlässlich mit der Entstehungsgeschichte von Art. 179quater StGB sowie den Tatbestandsmerkmalen «Geheimbereich» und «Privatbereich» auseinandergesetzt. Das Bundesgericht weist darauf hin, die heutige Formulierung des Tatbestands stelle eine vermittelnde Lösung zwischen unterschiedlichen Ansichten in National- und Ständerat dar[8]. Im Unterschied zum Bundesrat, der ausschliesslich den Geheimbereich schützen wollte, dehnte das Parlament den Schutz auf den Privatbereich aus[9]. Durch die Wendung «nicht jedermann ohne weiteres zugänglich» sollte dieser erweiterte strafrechtliche Schutz im Privatbereich zurückgenommen und eingegrenzt werden[10]. Ausgehend von dieser Entstehungsgeschichte zählt nach der Rechtsprechung des Bundesgerichts zum «Privatbereich» im Sinn von Art. 179quater StGB der nach Art. 186 StGB geschützte private Bereich, also ein Haus, eine Wohnung, ein abgeschlossener Raum eines Hauses oder ein unmittelbar zu einem Haus gehörender umfriedeter Platz, Hof oder Garten[11]. Dringt der Täter physisch in diesen geschützten Bereich ein, um darin eine Tatsache mit einem Aufnahmegerät zu beobachten oder auf einen Bildträger aufzunehmen, erfüllt er den Tatbestand von Art. 179quater StGB. Gleich zu behandeln ist der Täter, der, um eine im Hausfriedensbereich stattfindende und damit dem Privatbereich zuzuordnende Tatsache aufzunehmen, lediglich ein rechtlich-moralisches Hindernis überwinden muss. Damit ist eine gedachte, also eine physisch nicht in Erscheinung tretende Grenze gemeint, die nach den allgemein anerkannten Sitten und Gebräuchen ohne die Zustimmung der Betroffenen nicht überschritten wird[12]. bb) Mit Entscheid vom 11. November 2011 kam die I. sozialrechtliche Abteilung des Bundesgerichts zum Ergebnis[13], die Observation einer IV-Rentenbezügerin auf dem von der Strasse her frei einsehbaren Balkon verstosse nicht gegen Art. 179ter StGB, da es sich dabei um Tatsachen handle, die ohne Überwindung einer physischen oder psychologischen Schranke zugänglich seien. Ausserdem habe die betroffene Person freiwillig eine Alltagsverrichtung ausgeübt[14]. Dieses Ergebnis fügt sich nicht ohne weiteres in die ältere Rechtsprechung ein, die den strafrechtlichen Schutz ausdrücklich auf unmittelbar zu einem Haus gehörende Bereiche ausdehnte. Nach dieser Praxis war strafbar, wer eine Person beim Zeitungsholen im Eingangsbereich fotografierte. Hier bejahte das Bundesgericht eine physisch-moralische Grenze[15]. cc) aaa) Fraglich ist das Verhältnis der älteren Rechtsprechung zum Urteil der I. sozialrechtlichen Abteilung vom 11. November 2011. Diese Frage thematisiert auch Prof. Dr. Franz Riklin in seinem Gutachten. Die I. sozialrechtliche Abteilung stellte auf den «freiwilligen» Charakter der gefilmten alltäglichen Verrichtungen ab und hielt fest, die fraglichen Verhaltensweisen könnten von jedermann, ohne Überwindung einer rechtlich-moralischen Grenze, wahrgenommen werden[16]. In der Literatur wird angenommen, das Bundesgericht sei von einer Einwilligung ausgegangen[17]. Bei dieser Leseart besteht kein Widerspruch zur älteren Rechtsprechung, da die Einwilligung die Tatbestandsmässigkeit von vornherein ausschliesst[18]. So betrachtet, ist das Urteil vom 11. November 2011 besonders gelagert und nicht verallgemeinerungsfähig. bbb) Die Strafrechtliche Abteilung des Bundesgerichts bestätigte in einem unpublizierten Entscheid vom 20. März 2019 die ältere Praxis, ohne auf den Entscheid der I. sozialrechtlichen Abteilung einzugehen. Demgemäss ist strafbar, wer eine andere Person im Garten fotografiert[19]. Weiter wird in einem neuen publizierten Entscheid der öffentlich-rechtlichen Abteilung auf die ältere Praxis hingewiesen, ohne den Entscheid vom 11. November 2011 zu thematisieren[20]. Diese Urteile bestätigen die Schlussfolgerung, das Urteil der I. sozialrechtlichen Abteilung sei nur begrenzt verallgemeinerungsfähig. ccc) Hinzu kommt, dass der Europäische Gerichtshof für Menschenrechte (EGMR) die Schweiz mit Urteil vom 18. Oktober 2016 wegen einer Verletzung von Art. 8 EMRK im Zusammenhang mit der Observation im Sozialversicherungsrecht verurteilte. Der Gerichtshof argumentierte bezugnehmend auf Art. 179quater StGB, es fehle innerstaatlich an einer klaren und vorhersehbaren Gesetzesgrundlage für Observationen[21]. In der Folge rückte das Bundesgericht ausdrücklich von der mit Urteil vom 11. November 2011 begründeten Rechtsprechung ab. An dieser sei nicht festzuhalten[22]. Erweist sich demnach diese Praxis als konventionswidrig und überholt, kann sie nicht zur Auslegung von Art. 179quater StGB herangezogen werden. ddd) Die Literatur bezeichnet die ältere Rechtsprechung, die ein Überwinden eines rechtlich-moralischen Hindernisses genügen lässt, zwar bisweilen als weitgehend oder eher unbestimmt[23]. Grundlegende Kritik erwuchs ihr aber nicht[24]. Demgegenüber wird der Entscheid der I. sozialrechtlichen Abteilung vom 11. November 2011 kritisiert. Der angenommene Verzicht sei letztlich fingiert[25]. eee)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