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TG_OBERGERICHT RBOG 2001 Nr. 17 vom 6. November 2000</w:t>
      </w:r>
    </w:p>
    <w:p>
      <w:r>
        <w:t>Tg Obergericht, 2000-11-06, DE</w:t>
      </w:r>
    </w:p>
    <w:p>
      <w:r>
        <w:rPr>
          <w:b/>
        </w:rPr>
        <w:t xml:space="preserve">Quelle: </w:t>
      </w:r>
      <w:r>
        <w:t>https://mcp.opencaselaw.ch/entscheid/tg_obergericht_RBOG_2001_Nr._17</w:t>
      </w:r>
    </w:p>
    <w:p>
      <w:r>
        <w:t>FR: TG_OBERGERICHT RBOG 2001 Nr. 17 du 6 novembre 2000</w:t>
      </w:r>
    </w:p>
    <w:p>
      <w:r>
        <w:t>IT: TG_OBERGERICHT RBOG 2001 Nr. 17 del 6 novembre 2000</w:t>
      </w:r>
    </w:p>
    <w:p>
      <w:pPr>
        <w:pStyle w:val="Heading2"/>
      </w:pPr>
      <w:r>
        <w:t>Regeste</w:t>
      </w:r>
    </w:p>
    <w:p>
      <w:r>
        <w:t>In der vom Bezirksamt gegen den Rekurrenten gestützt auf die Beschlagnahmeverfügung und das X betreffende Strafurteil des Bezirksgerichts eingeleiteten Betreibung erteilte die Vorinstanz definitive Rechtsöffnung im Umfang des unrechtmässig erlangten Vermögensvorteils. Trotzdem ist zu empfehlen, dass die Bezirksämter ihre Beschlagnahmeverfügungen nicht nur auf § 117 Abs. Weil unabhängig vom rechtskräftig erledigten Strafverfahren gegen X das Einziehungsverfahren gegen den Rekurrenten noch...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Abs. 3 StGB auch eine neue Beschlagnahmeverfügung möglich wäre. Obergericht, 6. November 2000, BR.2000.94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