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ZBO.2000.18 vom 1. Januar 2002</w:t>
      </w:r>
    </w:p>
    <w:p>
      <w:r>
        <w:t>TG Obergericht, 2002-01-01, DE</w:t>
      </w:r>
    </w:p>
    <w:p>
      <w:r>
        <w:rPr>
          <w:b/>
        </w:rPr>
        <w:t xml:space="preserve">Quelle: </w:t>
      </w:r>
      <w:r>
        <w:t>https://mcp.opencaselaw.ch/entscheid/tg_gerichte_ZBO.2000.18</w:t>
      </w:r>
    </w:p>
    <w:p>
      <w:r>
        <w:t>FR: TG_GERICHTE ZBO.2000.18 du 1 janvier 2002</w:t>
      </w:r>
    </w:p>
    <w:p>
      <w:r>
        <w:t>IT: TG_GERICHTE ZBO.2000.18 del 1 gennaio 2002</w:t>
      </w:r>
    </w:p>
    <w:p>
      <w:pPr>
        <w:pStyle w:val="Heading2"/>
      </w:pPr>
      <w:r>
        <w:t>Volltext</w:t>
      </w:r>
    </w:p>
    <w:p>
      <w:r>
        <w:t>Im Rekursverfahren ist eine neue BegrÃ¼ndung der Forderung zulÃ¤ssig, sofern sie sich auf die im Zahlungsbefehl genannten GrÃ¼nde abstÃ¼tzt Art. 80 ff. SchKG , Â§ 90 Abs. 2 Ziff. 1 aZPO (TG) , Â§ 230 aZPO (TG) (Â§ 231 aaZPO (TG)) Â§ 240 aZPO (TG) Der Betrag fÃ¼r die Kinderzulagen, der von der Rekursgegnerin vor erster Instanz nicht zur BegrÃ¼ndung der in Betreibung gesetzten Forderung herangezogen wurde, darf im Rekursverfahren geltend gemacht werden. Es handelt sich dabei nicht um eine unzulÃ¤ssige KlageÃ¤nderung, sondern um eine neue BegrÃ¼ndung. Dabei ist entscheidend, dass der Betrag, fÃ¼r den erstinstanzlich RechtsÃ¶ffnung gefordert wurde, nicht Ã¼berschritten wird, und dass sich die neue BegrÃ¼ndung auf die im Zahlungsbefehl genannten ForderungsgrÃ¼nde abstÃ¼tzen lÃ¤sst (RBOG 1941 Nr. 15; Entscheid des Obergerichts vom 21. Dezember 2000, ZBO.2000.18; Merz, Die Praxis zur thurgauischen Zivilprozessordnung, Bern 2000, Â§ 90 N 8 f.). Beides ist hier offensichtlich erfÃ¼llt. Obergericht, 11. MÃ¤rz 2002, BR.2002.5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