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TVR-2023-14 vom 19. Dezember 2022</w:t>
      </w:r>
    </w:p>
    <w:p>
      <w:r>
        <w:t>TG Obergericht, 2022-12-19, DE</w:t>
      </w:r>
    </w:p>
    <w:p>
      <w:r>
        <w:rPr>
          <w:b/>
        </w:rPr>
        <w:t xml:space="preserve">Quelle: </w:t>
      </w:r>
      <w:r>
        <w:t>https://mcp.opencaselaw.ch/entscheid/tg_gerichte_TVR-2023-14</w:t>
      </w:r>
    </w:p>
    <w:p>
      <w:r>
        <w:t>FR: TG_GERICHTE TVR-2023-14 du 19 décembre 2022</w:t>
      </w:r>
    </w:p>
    <w:p>
      <w:r>
        <w:t>IT: TG_GERICHTE TVR-2023-14 del 19 dicembre 2022</w:t>
      </w:r>
    </w:p>
    <w:p>
      <w:pPr>
        <w:pStyle w:val="Heading2"/>
      </w:pPr>
      <w:r>
        <w:t>Erwägungen</w:t>
      </w:r>
    </w:p>
    <w:p>
      <w:r>
        <w:rPr>
          <w:b/>
        </w:rPr>
        <w:t>E. 2.1</w:t>
      </w:r>
    </w:p>
    <w:p>
      <w:r>
        <w:t>Die Schweizerische Rechtsordnung geht vom Grundsatz aus, dass der Einzelne die Aufwendungen, die ihm durch seine Ausbildung erwachsen, selber zu tragen hat, soweit sich nicht das Gemeinwesen durch Unentgeltlichkeit des Unterrichts und Massnahmen zur Verbilligung von Reise und Unterhalt an den Kosten beteiligt. Da das Kind dazu nur in den wenigsten FÃ¤llen in der Lage ist, haben die Eltern nach Art. 276 Abs. 1 ZGB auch die Aufwendungen fÃ¼r die Ausbildung zu Ã¼bernehmen. Das Gemeinwesen steht dem Einzelnen bei, der weder aus eigenen Mitteln noch, soweit die Eltern zum Unterhalt verpflichtet sind, durch ihre UnterstÃ¼tzung in der Lage ist, seine Schulung alleine zu finanzieren. Die Stipendiengesetze setzen daher regelmÃ¤ssig Eigenleistungen nach Massgabe der wirtschaftlichen VerhÃ¤ltnisse und der persÃ¶nlichen UmstÃ¤nde voraus und bestimmen danach die Berechtigung zu Beihilfen und deren HÃ¶he (Plotke, Schweizerisches Schulrecht, 2. Aufl. 2003, S. 242).</w:t>
      </w:r>
    </w:p>
    <w:p>
      <w:r>
        <w:rPr>
          <w:b/>
        </w:rPr>
        <w:t>E. 2.2</w:t>
      </w:r>
    </w:p>
    <w:p>
      <w:r>
        <w:t>bis 2.5 (Feststellung, dass sich weder aus Art. 27 BV [Wirtschaftsfreiheit] noch aus Art. 62 f. BV [Schulwesen und Berufsbildung] oder Art. 11 BV bzw. Art. 3 UN-KRK [Kindeswohl] ein Anspruch der BeschwerdefÃ¼hrerin gegenÃ¼ber dem Kanton Thurgau auf Ãbernahme des Schulgeldes fÃ¼r den Besuch der ausserkantonalen AusbildungsstÃ¤tte in Form der Fachschule A im Kanton ZÃ¼rich ergibt)</w:t>
      </w:r>
    </w:p>
    <w:p>
      <w:r>
        <w:rPr>
          <w:b/>
        </w:rPr>
        <w:t>E. 3.1</w:t>
      </w:r>
    </w:p>
    <w:p>
      <w:r>
        <w:t>Die BeschwerdefÃ¼hrerin macht einen entsprechenden Anspruch aus der SchulgeldVO geltend. Im Zusammenhang mit der Frage nach einer Ãbernahme von bzw. nach BeitrÃ¤gen an die Kosten einer (insbesondere ausserkantonalen) AusbildungsstÃ¤tte finden sich, wie nachfolgend dargestellt, weitere Rechtsgrundlagen, die bei der sich vorliegend stellenden Streitfrage ebenfalls zu berÃ¼cksichtigen sind.</w:t>
      </w:r>
    </w:p>
    <w:p>
      <w:r>
        <w:rPr>
          <w:b/>
        </w:rPr>
        <w:t>E. 3.2</w:t>
      </w:r>
    </w:p>
    <w:p>
      <w:r>
        <w:t>GemÃ¤ss Art. 16 Abs. 1 BBG besteht die berufliche Grundbildung aus der Bildung in beruflicher Praxis (lit. a); aus allgemeiner und berufskundlicher schulischer Bildung (lit. b) und aus ErgÃ¤nzung der Bildung in beruflicher Praxis und schulischer Bildung, wo die zu erlernende BerufstÃ¤tigkeit dies erfordert (lit. c). Die Vermittlung der beruflichen Grundbildung findet laut Art. 16 Abs. 2 BBG in der Regel an folgenden Lernorten statt: im Lehrbetrieb, im Lehrbetriebsverbund, in LehrwerkstÃ¤tten, in Handelsmittelschulen oder in anderen zu diesem Zweck anerkannten Institutionen fÃ¼r die Bildung in beruflicher Praxis (lit. a), in Berufsfachschulen fÃ¼r die allgemeine und die berufskundliche Bildung (lit. b); in Ã¼berbetrieblichen Kursen und vergleichbaren dritten Lernorten fÃ¼r ErgÃ¤nzungen der beruflichen Praxis und der schulischen Bildung (lit. c). Art. 22 Abs. 1 BBG verpflichtet die Kantone, in denen die Bildung in beruflicher Praxis erfolgt, fÃ¼r ein bedarfsgerechtes Angebot an Berufsfachschulen zu sorgen. Der obligatorische Unterricht ist gemÃ¤ss Art. 22 Abs. 2 BBG unentgeltlich.</w:t>
      </w:r>
    </w:p>
    <w:p>
      <w:r>
        <w:rPr>
          <w:b/>
        </w:rPr>
        <w:t>E. 3.3</w:t>
      </w:r>
    </w:p>
    <w:p>
      <w:r>
        <w:t>Der Kanton Thurgau ist der Berufsfachschulvereinbarung (BFSV, RB 412.613) beigetreten. Laut Art. 4 Abs. 1 BFSV ist fÃ¼r den beruflichen Unterricht an Berufs-fachschulen der Lehrortskanton zahlungspflichtig und dieser entscheidet im Ein-vernehmen mit dem Schulortskanton Ã¼ber eine Zuweisung zu einer ausserkantona-len Berufsfachschule. GemÃ¤ss Art. 4 Abs. 2 BFSV ist bei Lernenden von Vollzeit-schulen der Wohnsitzkanton zum Zeitpunkt des Ausbildungsbeginns zahlungs-pflichtig, sofern er den Besuch einer ausserkantonalen AusbildungsstÃ¤tte bewilligt.</w:t>
      </w:r>
    </w:p>
    <w:p>
      <w:r>
        <w:rPr>
          <w:b/>
        </w:rPr>
        <w:t>E. 3.4</w:t>
      </w:r>
    </w:p>
    <w:p>
      <w:r>
        <w:t>Das kantonale GBM bestimmt in Â§ 39, dass der Regierungsrat mit anderen Kantonen, Staaten oder AngebotstrÃ¤gern Vereinbarungen Ã¼ber die Zusammenarbeit, Ã¼ber SchulbeitrÃ¤ge oder Ã¼ber die Beteiligung an Schulen und anderen Angeboten abschliessen kann (Abs. 1); er kann Beteiligungen an Institutionen der Aus- oder Weiterbildung einrichten, an diese BeitrÃ¤ge leisten oder sich am Schulgeld beteiligen (Abs. 2). Laut Â§ 40 GBM kann der Regierungsrat fÃ¼r die berufliche und schulische Bildung in Randregionen besondere Anordnungen treffen und VertrÃ¤ge mit ausserkantonalen oder privaten SchultrÃ¤gern abschliessen (Abs. 1). Er sorgt fÃ¼r einen angemessenen Zugang zu Ausbildungen in seltenen Berufen (Abs. 2). Laut Â§ 42 Abs. 1 GBM trÃ¤gt der Kanton die Kosten der kantonalen Schulen und Angebote, nach Abzug von BeitrÃ¤gen Dritter. Er zahlt die Kosten fÃ¼r Kurse, Schulen oder Angebote gemÃ¤ss den eingegangenen Vereinbarungen (Abs. 2). GemÃ¤ss Abs. 3 von Â§ 42 GBM leistet der Kanton BeitrÃ¤ge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