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TVR-2017-14 vom 1. Januar 2017</w:t>
      </w:r>
    </w:p>
    <w:p>
      <w:r>
        <w:t>TG Obergericht, 2017-01-01, DE</w:t>
      </w:r>
    </w:p>
    <w:p>
      <w:r>
        <w:rPr>
          <w:b/>
        </w:rPr>
        <w:t xml:space="preserve">Quelle: </w:t>
      </w:r>
      <w:r>
        <w:t>https://mcp.opencaselaw.ch/entscheid/tg_gerichte_TVR-2017-14</w:t>
      </w:r>
    </w:p>
    <w:p>
      <w:r>
        <w:t>FR: TG_GERICHTE TVR-2017-14 du 1 janvier 2017</w:t>
      </w:r>
    </w:p>
    <w:p>
      <w:r>
        <w:t>IT: TG_GERICHTE TVR-2017-14 del 1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ErhÃ¶hung des Drittbetreuungsabzuges ohne Ãnderung der gesetzlichen Grundlage ist nicht zulÃ¤ssig (E. 3.2).</w:t>
      </w:r>
    </w:p>
    <w:p>
      <w:r>
        <w:rPr>
          <w:b/>
        </w:rPr>
        <w:t>E. 2</w:t>
      </w:r>
    </w:p>
    <w:p>
      <w:r>
        <w:t>Der im Kanton Thurgau maximal zulÃ¤ssige Betreuungskostenabzug von Fr. 4â000.-- ist nicht bundesrechtswidrig. Das Bundesrecht schreibt keine minimale HÃ¶he des zu gewÃ¤hrenden Abzuges vor. Das StHG verpflichtet die Kantone nur, den Abzug nach oben zu beschrÃ¤nken (E. 3.3).</w:t>
      </w:r>
    </w:p>
    <w:p>
      <w:r>
        <w:rPr>
          <w:b/>
        </w:rPr>
        <w:t>E. 3</w:t>
      </w:r>
    </w:p>
    <w:p>
      <w:r>
        <w:t>Dass die einzelnen kantonalen Steuergesetze unterschiedlich hohe AbzÃ¼ge vorsehen, ist Ausfluss der durch Art. 3 BV vorgegebenen SouverÃ¤nitÃ¤t der Kantone. Eine unzulÃ¤ssige Diskriminierung ergibt sich hieraus nicht (E. 3.4).</w:t>
      </w:r>
    </w:p>
    <w:p>
      <w:r>
        <w:rPr>
          <w:b/>
        </w:rPr>
        <w:t>E. 3.1</w:t>
      </w:r>
    </w:p>
    <w:p>
      <w:r>
        <w:t>GemÃ¤ss Art. 9 Abs. 1 StHG werden von den gesamten steuerbaren EinkÃ¼nften die zu ihrer Erzielung notwendigen Aufwendungen und die allgemeinen AbzÃ¼ge abgezogen. FÃ¼r die notwendigen Kosten fÃ¼r Fahrten zwischen Wohn- und ArbeitsstÃ¤tte kann ein Maximalbetrag festgesetzt werden (Art. 9 Abs. 1 StHG). Allgemeine AbzÃ¼ge sind unter anderem die nachgewiesenen Kosten, bis zu einem nach kantonalem Recht bestimmten Betrag, fÃ¼r die Drittbetreuung jedes Kindes, das das 14. Altersjahr noch nicht vollendet hat und mit der steuerpflichtigen Person, die fÃ¼r seinen Unterhalt sorgt, im gleichen Haushalt lebt, soweit diese Kosten in direktem kausalen Zusammenhang mit der ErwerbstÃ¤tigkeit, Ausbildung oder ErwerbsunfÃ¤higkeit der steuerpflichtigen Person stehen (Art. 9 Abs. 2 lit. m StHG). GemÃ¤ss Â§ 34 Abs. 1 Ziff. 13 StG werden die nachgewiesenen Kosten, hÃ¶chstens aber Fr. 4â000.-- pro Kind und Jahr, fÃ¼r die wÃ¤hrend der ErwerbstÃ¤tigkeit der Eltern erfolgte Drittbetreuung von Kindern, die das 16. Altersjahr noch nicht Ã¼berschritten haben und mit den Eltern im gleichen Haushalt leben fÃ¼r Alleinerziehende (lit. a), wenn ein Elternteil erwerbsunfÃ¤hig oder in Ausbildung ist (lit. b), wenn beide Elternteile erwerbstÃ¤tig sind (lit. c), wenn der betreuende Elternteil infolge Krankheit oder Unfall in der Familie nicht in der Lage ist, die Betreuung der Kinder wahrzunehmen (lit. d), von den EinkÃ¼nften abgezogen, wobei der Regierungsrat diesen Abzug regelt. GemÃ¤ss Â§ 62a StV werden von den EinkÃ¼nften die nachgewiesenen Kosten, hÃ¶chstens aber Fr. 4â000.--, fÃ¼r die Drittbetreuung jedes Kindes, welches das 14. Altersjahr noch nicht vollendet hat und mit der steuerpflichtigen Person, die fÃ¼r seinen Unterhalt sorgt, im gleichen Haushalt lebt, abgezogen, soweit diese Kosten in direktem kausalen Zusammenhang mit der ErwerbstÃ¤tigkeit, Ausbildung oder ErwerbsunfÃ¤higkeit der steuerpflichtigen Person stehen. Â§ 11c bleibt vorbehalten (Â§ 62a Abs. 1 StV). Der Abzug nach Â§ 34 Abs. 1 Ziff. 13 des Gesetzes findet keine Anwendung mehr (Â§ 62a Abs. 2 StV). GemÃ¤ss Â§ 11c StV kÃ¶nnen fÃ¼r die Drittbetreuung von Kindern nach Â§ 34 Abs. 1 Ziff. 13 des Gesetzes pro Kind in der Regel 75% der nachgewiesenen Kosten, maximal jedoch Fr. 4â000.-- in Abzug gebracht werden (Â§ 11c Abs. 1 StV). Die betreuende Person muss das 16. Altersjahr vollendet haben (Â§ 11c Abs. 2 StV).</w:t>
      </w:r>
    </w:p>
    <w:p>
      <w:r>
        <w:rPr>
          <w:b/>
        </w:rPr>
        <w:t>E. 3.2</w:t>
      </w:r>
    </w:p>
    <w:p>
      <w:r>
        <w:t>Zwischen den Parteien ist unbestritten, dass der Abzug fÃ¼r Kinderbetreuungskosten bei den Staats- und Gemeindesteuern gemÃ¤ss Â§ 34 Abs. 1 Ziff. 13 lit. c StG bzw. Â§ 62a StV maximal Fr. 4â000.-- pro Jahr und Kind betrÃ¤gt und dass den BeschwerdefÃ¼hrern dieser Maximalabzug zugestanden wurde. Der Betrag ist in einem Gesetz im formellen Sinn geregelt. Es ist der Rechtsprechung versagt, steuerpolitisch zu wirken. FÃ¼r eine allfÃ¤llige ErhÃ¶hung des Drittbetreuungsabzuges ist nicht die Justiz, sondern der kantonale Gesetzgeber zustÃ¤ndig. Eine ErhÃ¶hung des Drittbetreuungsabzuges ohne Ãnderung der gesetzlichen Grundlage ist nicht zulÃ¤ssig. Die von den BeschwerdefÃ¼hrern verlangte ErhÃ¶hung des Maximalabzuges wÃ¼rde denn auch nicht eine blosse Praxis-, sondern eine GesetzesÃ¤nderung voraussetzen.</w:t>
      </w:r>
    </w:p>
    <w:p>
      <w:r>
        <w:rPr>
          <w:b/>
        </w:rPr>
        <w:t>E. 3.3</w:t>
      </w:r>
    </w:p>
    <w:p>
      <w:r>
        <w:t>Der im Kanton Thurgau maximal zulÃ¤ssige Betreuungskostenabzug von Fr. 4â000.-- ist entgegen der von den BeschwerdefÃ¼hrern vertretenen Auffassung nicht bundesrechtswidrig. Das Bundesrecht schreibt keine minimale HÃ¶he des zu gewÃ¤hrenden Abzuges vor. Vielmehr sind die Kantone durch das StHG nur verpflichtet, den Abzug nach oben zu beschrÃ¤nken. Diese BeschrÃ¤nkung sieht das thurgauische Recht vor. Einen Minimalbetrag gibt das StHG nicht vor.</w:t>
      </w:r>
    </w:p>
    <w:p>
      <w:r>
        <w:rPr>
          <w:b/>
        </w:rPr>
        <w:t>E. 3.4</w:t>
      </w:r>
    </w:p>
    <w:p>
      <w:r>
        <w:t>Entgegen der von den BeschwerdefÃ¼hrern vertretenen Auffassung liegt auch keine Verletzung des Rechtsgleichheitsgebotes gemÃ¤ss Art. 8 BV vor. Art. 129 Abs. 2 BV hÃ¤lt fest, dass sich die Steuerharmonisierung auf Steuerpflicht, Gegenstand und zeitliche Bemessung der Steuern, Verfahrensrecht und Steuerstrafrecht erstreckt. Steuertarife, SteuersÃ¤tze und SteuerfreibetrÃ¤ge sind gemÃ¤ss Art. 129 Abs. 2 Satz 2 BV von der Harmonisierung ausdrÃ¼cklich ausgenommen. Dass die einzelnen kantonalen Steuergesetze unterschiedlich hohe AbzÃ¼ge vorsehen, ist Ausfluss der durch Art. 3 BV vorgegebenen SouverÃ¤nitÃ¤t der Kantone. Eine unzulÃ¤ssige Diskriminierung ergibt sich hieraus nicht. Der von den BeschwerdefÃ¼hrern beanstandete Maximalabzug gilt fÃ¼r alle Steuerpflichtigen des Kantons Thurgau. Eine innerkantonale Ungleichbehandlung machen die BeschwerdefÃ¼hrer denn auch (zu Recht) nicht geltend.</w:t>
      </w:r>
    </w:p>
    <w:p>
      <w:r>
        <w:rPr>
          <w:b/>
        </w:rPr>
        <w:t>E. 3.5</w:t>
      </w:r>
    </w:p>
    <w:p>
      <w:r>
        <w:t>Der im Kanton Thurgau auf Fr. 4â000.-- pro Jahr und Kind festgelegte Maximalabzug mag im schweizweiten Vergleich tief sein. Auch mag der Einwand der BeschwerdefÃ¼hrer, der im Kanton Thurgau maximal zulÃ¤ssige Betreuungskostenabzug von Fr. 4â000.-- pro Jahr und Kind reiche nicht aus, um die Kosten einer mehrtÃ¤gigen Betreuung eines Kindes pro Woche in einer KindertagesstÃ¤tte zu decken, zutreffen. Allerdings handelt es sich bei der Festlegung der HÃ¶he von SteuerabzÃ¼gen um einen politischen Entscheid. Es ist wie erwÃ¤hnt Sache des Gesetzgebers - und nicht der Justiz - den gesetzlich geregelten Betrag festzulegen. Pauschalierungen dienen im Ãbrigen der Vereinfachung sowohl fÃ¼r die veranlagenden BehÃ¶rden als auch fÃ¼r die Steuerpflichtigen. Es liegt aber in der Natur der Pauschale, dass sie sich nicht nach dem tatsÃ¤chlichen Aufwand des Einzelfalles bemisst, sondern vergleichbare Lebenssachverhalte aus PraktikabilitÃ¤tsÃ¼berlegungen einheitlich regelt (vgl. BGE 131 V 256 E. 5.5.5). Ihre ZulÃ¤ssigkeit kann daher nicht einfach davon abhÃ¤ngig gemacht werden, ob die Betroffenen im Rahmen der Pauschale sÃ¤mtliche Auslagen zu bestreiten in der Lage sind oder nicht.</w:t>
      </w:r>
    </w:p>
    <w:p>
      <w:r>
        <w:rPr>
          <w:b/>
        </w:rPr>
        <w:t>E. 3.6</w:t>
      </w:r>
    </w:p>
    <w:p>
      <w:r>
        <w:t>Wie bereits im in TVR 2000 Nr. 19 publizierten Verwaltungsgerichtsentscheid vom 1. November 2000 festgehalten und wie die Vorinstanz zutreffend ausgefÃ¼hrt hat, handelt es sich bei den Kosten fÃ¼r die Kinderbetreuung gemÃ¤ss herrschender Lehre und Rechtsprechung um grundsÃ¤tzlich nicht abzugsfÃ¤hige private Lebenshaltungskosten im Sinne von Kosten, die primÃ¤r und Ã¼berwiegend durch die private Lebenshaltung bedingt sind, und nicht um Gewinnungskosten (vgl. Richner/Frei/Kaufmann/Meuter, Handkommentar zum DBG, 3. Aufl., ZÃ¼rich 2016, Art. 34 Rz. 3). Entgegen der Auffassung der BeschwerdefÃ¼hrer gilt nicht jede Ausgabe als berufsnotwendig, welche im weitesten Sinn ihren Grund im ArbeitsverhÃ¤ltnis hat. In der Botschaft zum Bundesgesetz Ã¼ber die steuerliche Entlastung von Familien mit Kindern vom 20. Mai 2009 hat der Bundesrat das Konzept des neuen Art. 9 Abs. 2 lit. m StHG (damals Art. 9 Abs. 2 lit. l StHG) denn auch dahingehend erlÃ¤utert, dass die Kantone neu verpflichtet werden sollen, die Kinderbetreuungskosten als anorganischen Abzug zuzulassen, wobei sie die AbzugshÃ¶he selbst bestimmen kÃ¶nnen (BBl 2009 Nr. 26 S. 4767). Anorganische AbzÃ¼ge werden fÃ¼r besondere Aufwendungen gewÃ¤hrt, die Einkommensverwendung darstellen, aus ausserfiskalischen GrÃ¼nden jedoch in gewissem Umfang steuerlich berÃ¼cksichtigt werden (BBl 2009 Nr. 26 S. 4750). Die Vorinstanz hat ebenfalls zu Recht erwogen, dass grundsÃ¤tzlich jeder Beruf ohne Auslagen fÃ¼r die Kinderbetreuung ausgeÃ¼bt werden kann. Die Argumentation der BeschwerdefÃ¼hrer, an ihrem Wohnort in U habe es 2013 kein Betreuungsangebot gegeben und ihre Tochter habe deshalb in V eine KindertagesstÃ¤tte besuchen mÃ¼ssen, was zusÃ¤tzlich mit hÃ¶heren Kosten verbunden gewesen sei, stÃ¶sst damit von vornherein ins Leere. Selbst wenn die konkrete Betreuungssituation relevant wÃ¤re, was nicht der Fall ist, wÃ¤re den BeschwerdefÃ¼hrern zudem entgegenzuhalten, dass ihre Tochter, wenn nicht in U, so doch sicher in der nÃ¤heren Umgebung hÃ¤tte betreut werden kÃ¶nnen. Es ist gerichtsnotorisch, dass in der NÃ¤he des Wohnortes der BeschwerdefÃ¼hrer sowohl ein Tagesmutterangebot besteht als auch KindertagesstÃ¤tten vorhanden sind. Entgegen der Darstellung der BeschwerdefÃ¼hrer lÃ¤sst es zudem auch der Beruf eines Rechtsanwalts zu, dass trotz Fristen- und Termindruck ein Kind jeweils zu fixen Zeiten zu einer KindertagesstÃ¤tte gebracht und dort wieder abgeholt wird. Es ist deshalb nicht ersichtlich, inwiefern die BeschwerdefÃ¼hrer durch die AusÃ¼bung ihrer beruflichen TÃ¤tigkeit mehr betroffen sein sollen bzw. ihnen hÃ¶here Kosten entstehen sollen als anderen im Kanton Thurgau lebenden Familien in vergleichbarer Situation und sie deshalb die gesetzlichen Limiten Ã¼bersteigende Fremdbetreuungskosten als zusÃ¤tzliche AbzÃ¼ge steuerlich geltend machen kÃ¶nnen sollten. Abgesehen davon ist fraglich, ob der BeschwerdefÃ¼hrer Ã¼berhaupt, wie behauptet, viermal pro Woche nach V fÃ¤hrt. Aufgrund der Angaben auf seiner Website ist anzunehmen, dass er in V lediglich Ã¼ber ein BesprechungsbÃ¼ro verfÃ¼gt und seine TÃ¤tigkeit im Ãbrigen von U aus ausÃ¼bt. Wie bereits erwÃ¤hnt, wÃ¤re es daher ohne weiteres mÃ¶glich gewesen, die Tochter in der nÃ¤heren Umgebung in einer KindertagesstÃ¤tte oder beispielsweise durch eine Tagesmutter betreuen zu lassen. Entscheid des Verwaltungsgerichts VG.2016.71/E vom 7. September 2016 Mit Entscheid VG.2016.72/E vom 7. September 2016 hat das Verwaltungsgericht auch die Beschwerde der BeschwerdefÃ¼hrer betreffend direkte Bundessteuer abgewiesen. Das Bundesgericht hat die gegen die beiden Entscheide erhobenen Beschwerden in Ã¶ffentlich-rechtlichen Angelegenheiten mit Urteil 2C_1047/2016, 2C_1048/2016 vom 31. Juli 2017 abgewiesen. ×</w:t>
      </w:r>
    </w:p>
    <w:p>
      <w:r>
        <w:rPr>
          <w:b/>
        </w:rPr>
        <w:t>E. 4</w:t>
      </w:r>
    </w:p>
    <w:p>
      <w:r>
        <w:t>Wie bereits im in TVR 2000 Nr. 19 publizierten Verwaltungsgerichtsentscheid festgehalten, handelt es sich bei den Kosten fÃ¼r die Kinderbetreuung gemÃ¤ss herrschender Lehre und Rechtsprechung um grundsÃ¤tzlich nicht abzugsfÃ¤hige private Lebenshaltungskosten im Sinne von Kosten, die primÃ¤r und Ã¼berwiegend durch die private Lebenshaltung bedingt sind, und nicht um Gewinnungskosten (E. 3.6). A ist mit B verheiratet. A ist Inhaber der A RechtsanwÃ¤lte AG und gemÃ¤ss deren Website deren einziger Angestellter. Die Kanzlei hat Standorte in V sowie in U an der Wohnadresse der Eheleute A und B. GemÃ¤ss den Angaben von A arbeitet er als Rechtsanwalt mit einem Pensum von 80%. Seine Ehefrau B arbeitet ebenfalls mit einem Pensum von 80% als StaatsanwÃ¤ltin in V. A und B haben eine gemeinsame Tochter M (Jahrgang 2009). M besuchte im Jahr 2013 wÃ¤hrend drei Tagen pro Wochen die KindertagesstÃ¤tte K in V. Die Betreuungskosten beliefen sich im Jahr 2013 auf insgesamt Fr. 18â552.--. In der SteuererklÃ¤rung deklarierten A und B unter Ziff. 15.3 fÃ¼r die Drittbetreuung von Kindern unter 14 Jahren Kosten von Fr. 4'000.-- (Staatssteuer) bzw. von Fr. 10â100.-- (Bundessteuer). Unter Ziff. 15.4 der SteuererklÃ¤rung machten sie als weitere AbzÃ¼ge Fr. 15â126.-- geltend. Im Begleitschreiben an das Steueramt der Gemeinde U vom 2. November 2014 begrÃ¼ndeten sie diesen Abzug damit, dass Fr. 10â000.-- auf zusÃ¤tzliche Fremdbetreuungskosten entfallen wÃ¼rden. Die VeranlagungsbehÃ¶rde liess die geltend gemachten zusÃ¤tzlichen FremdbeÂ­treuungskosten von Fr. 10â000.-- in den Veranlagungsentscheiden vom 7. April 2015 nicht zum Abzug zu. Der Maximalabzug fÃ¼r Drittbetreuungskosten sei bereits unter Ziff. 15.3 gewÃ¤hrt worden. Eine hiergegen von A und B erhobene Einsprache wurde am 26. Mai 2015 abgewiesen. Gegen den ablehnenden Einspracheentscheid erhoben A und B am 26. Juni 2015 bei der Steuerrekurskommission Rekurs. Am 7. August 2015 reichten A und B bei der Steuerrekurskommission zudem eine als âEMRK-Beschwerdeâ bezeichnete Eingabe ein, in welcher neu beantragt wurde, dass sowohl mit Bezug auf die Staats- und Gemeindesteuern 2013 als auch mit Bezug auf die direkte Bundessteuer 2013 je Fr. 13â914.-- statt Fr. 4â000.-- bzw. statt Fr. 10â100.-- zum Abzug zuzulassen seien. Die Steuerrekurskommission wies am 22. April 2016 sowohl den Rekurs betreffend Staats- und Gemeindesteuern 2013 als auch die Beschwerde betreffend direkte Bundessteuer ab, soweit sie darauf eintrat. Dagegen erhoben A und B am 20. Mai 2016 beim Verwaltungsgericht Beschwerde, welches diese abweist. Aus den ErwÃ¤gungen: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