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TVR-2012-23 vom 1. Januar 2012</w:t>
      </w:r>
    </w:p>
    <w:p>
      <w:r>
        <w:t>TG Obergericht, 2012-01-01, DE</w:t>
      </w:r>
    </w:p>
    <w:p>
      <w:r>
        <w:rPr>
          <w:b/>
        </w:rPr>
        <w:t xml:space="preserve">Quelle: </w:t>
      </w:r>
      <w:r>
        <w:t>https://mcp.opencaselaw.ch/entscheid/tg_gerichte_TVR-2012-23</w:t>
      </w:r>
    </w:p>
    <w:p>
      <w:r>
        <w:t>FR: TG_GERICHTE TVR-2012-23 du 1 janvier 2012</w:t>
      </w:r>
    </w:p>
    <w:p>
      <w:r>
        <w:t>IT: TG_GERICHTE TVR-2012-23 del 1 gennaio 2012</w:t>
      </w:r>
    </w:p>
    <w:p>
      <w:pPr>
        <w:pStyle w:val="Heading2"/>
      </w:pPr>
      <w:r>
        <w:t>Erwägungen</w:t>
      </w:r>
    </w:p>
    <w:p>
      <w:r>
        <w:rPr>
          <w:b/>
        </w:rPr>
        <w:t>E. 2</w:t>
      </w:r>
    </w:p>
    <w:p>
      <w:r>
        <w:t>Vom Berufsgeheimnis kann der Patient, zur Wahrung schutzwÃ¼rdiger Interessen auch der Vorsteher des Departementes, befreien.âZustÃ¤ndiges Departement im Kanton Thurgau ist das DFS. Allerdings ist es fraglich, ob tatsÃ¤chlich auf Â§ 18 Abs. 1 GG verwiesen werden kann. Im Bereich des Berufsgeheimnisses findet zunÃ¤chst einmal Art. 321 StGB als bundesrechtliche Bestimmung Anwendung. Â§ 18 Abs. 1 GG kann nur insofern massgebend sein, als diese Bestimmung in ihrem Schutzgehalt weiter geht als Art. 321 StGB. Hinsichtlich der Befreiung vom Berufsgeheimnis kann aber zumindest per analogiam auf Art. 18 Abs. 2 GG verwiesen werden. Das DFS hat daher das Gesuch um Entbindung vom Berufsgeheimnis des Verfahrensbeteiligten zu Recht sowohl unter Bejahung der sachlichen als auch der Ã¶rtlichen ZustÃ¤ndigkeit materiell geprÃ¼ft. Entscheid vom 15. Februar 2012 Das Bundesgericht hat eine dagegen gerichtete Beschwerde in Ã¶ffentlich-rechtlichen Angelegenheiten mit Urteil 2C_361/2012 vom 19. September 2012 abgewiesen. ×</w:t>
      </w:r>
    </w:p>
    <w:p>
      <w:r>
        <w:rPr>
          <w:b/>
        </w:rPr>
        <w:t>E. 2.1</w:t>
      </w:r>
    </w:p>
    <w:p>
      <w:r>
        <w:t>Art. 321 StGB, der die Verletzung des Berufsgeheimnisses regelt, lautet - soweit hier von Interesse - wie folgt: â 1 Geistliche, RechtsanwÃ¤lte, Verteidiger, Notare, nach Obligationenrecht zur Verschwiegenheit verpflichtete Revisoren, Ãrzte, ZahnÃ¤rzte, Apotheker, Hebammen sowie ihre Hilfspersonen, die ein Geheimnis offenbaren, das ihnen in Folge ihres Berufes anvertraut worden ist, oder das sie in dessen AusÃ¼bung wahrgenommen haben, werden, auf Antrag, mit Freiheitsstrafe bis zu drei Jahren oder Geldstrafe bestraft. (â¦)</w:t>
      </w:r>
    </w:p>
    <w:p>
      <w:r>
        <w:rPr>
          <w:b/>
        </w:rPr>
        <w:t>E. 2.2</w:t>
      </w:r>
    </w:p>
    <w:p>
      <w:r>
        <w:t>Der verfahrensbeteiligte Dr. N ist fÃ¼r das Kantonsspital X tÃ¤tig, weshalb die damit verbundene Aufsichtsfunktion beim Kanton Thurgau liegt. Damit liegt aber auch die Ã¶rtliche ZustÃ¤ndigkeit fÃ¼r ein Gesuch um Entbindung vom Berufsgeheimnis beim Kanton Thurgau. Dies muss umso mehr gelten, als der Verfahrensbeteiligte nicht mehr im Kanton ZÃ¼rich als Arzt tÃ¤tig ist und dieser Kanton deshalb auch keine Aufsichtsfunktion Ã¼ber ihn ausÃ¼ben kann. Aufgrund eines (veralteten) Eintrags im FMH-Ãrzteindex kann keine entsprechende ZustÃ¤ndigkeit des Kantons Thurgau negiert werden. Offen bleiben kann die Frage, wie es sich verhÃ¤lt, wenn ein Arzt in mehreren Kantonen tÃ¤tig ist.</w:t>
      </w:r>
    </w:p>
    <w:p>
      <w:r>
        <w:rPr>
          <w:b/>
        </w:rPr>
        <w:t>E. 2.3</w:t>
      </w:r>
    </w:p>
    <w:p>
      <w:r>
        <w:t>Damit stellt sich die Frage der sachlichen ZustÃ¤ndigkeit zur Behandlung des Gesuchs. Das DFS hat diesbezÃ¼glich auf Â§ 18 Abs. 1 und 2 GG verwiesen. Die beiden Bestimmungen lauten wie folgt:â 1 Wer im Gesundheitswesen tÃ¤tig ist, hat Ã¼ber Tatsachen Verschwiegenheit zu wahren, die ihm aufgrund seines Berufes anvertraut oder von ihm wahrgenommen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