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TVR-2007-39 vom 1. Januar 2007</w:t>
      </w:r>
    </w:p>
    <w:p>
      <w:r>
        <w:t>TG Obergericht, 2007-01-01, DE</w:t>
      </w:r>
    </w:p>
    <w:p>
      <w:r>
        <w:rPr>
          <w:b/>
        </w:rPr>
        <w:t xml:space="preserve">Quelle: </w:t>
      </w:r>
      <w:r>
        <w:t>https://mcp.opencaselaw.ch/entscheid/tg_gerichte_TVR-2007-39</w:t>
      </w:r>
    </w:p>
    <w:p>
      <w:r>
        <w:t>FR: TG_GERICHTE TVR-2007-39 du 1 janvier 2007</w:t>
      </w:r>
    </w:p>
    <w:p>
      <w:r>
        <w:t>IT: TG_GERICHTE TVR-2007-39 del 1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Einspracheentscheid des FÃ¼rsorgeamtes betreffend RÃ¼ckerstattung im interÂ­kantonalen VerhÃ¤ltnis ist direkt beim Verwaltungsgericht anzufechten (E.1 a).</w:t>
      </w:r>
    </w:p>
    <w:p>
      <w:r>
        <w:rPr>
          <w:b/>
        </w:rPr>
        <w:t>E. 2</w:t>
      </w:r>
    </w:p>
    <w:p>
      <w:r>
        <w:t>a) GrundsÃ¤tzlich teilt das unmÃ¼ndige Kind, unabhÃ¤ngig von seinem Aufenthaltsort, den UnterstÃ¼tzungswohnsitz der Eltern oder jenes ElternÂ­teils, unter dessen Gewalt es steht (Art. 7 Abs. 1 und 2 ZUG). Es hat allerÂ­ dings einen eigenen UnterstÃ¼tzungswohnsitz am letzten UnterstÃ¼tzungsÂ­wohnsitz nach den AbsÃ¤tzen 1 und 2, wenn es dauernd nicht bei seinen Eltern oder einem Elternteil wohnt (Art. 7 Abs. 3 lit. c ZUG). Vorliegend ist unbeÂ­stritten, dass sich der UnterstÃ¼tzungswohnsitz von Y nach eben dieser VorÂ­schrift richtet. Er hat mit andern Worten einen eigenen UnterstÃ¼tzungswohnsitz GrundsÃ¤tzlich obliegt die UnterstÃ¼tzung eines Schweizer BÃ¼rgers dem Wohnkanton (Art. 12 Abs. 1 ZUG). FÃ¼r die Regelung der KostenersatzÂ­pflicht (Art. 14 und 16 ZUG) gilt unter anderem folgender Grundsatz: ErhÃ¤lt ein unmÃ¼ndiges Kind einen eigenen UnterstÃ¼tzungswohnsitz, so wird ihm die bisherige Wohnsitzdauer angerechnet, wenn es den Wohnkanton nicht verÂ­lÃ¤sst (Art. 8 lit. c ZUG). Art. 16 Abs. 1 ZUG lautet wie folgt: Â«Wenn der UnterstÃ¼tzte noch nicht zwei Jahre lang ununterbrochen in einem anderen Kanton Wohnsitz hat, so erstattet der Heimatkanton dem Wohnkanton die Kosten der UnterstÃ¼tzung, die dieser selber ausgerichtet oder einem AufentÂ­haltskanton nach Art. 14 vergÃ¼tet hat.Â» b) Streitig ist zwischen den Parteien, ob durch die Platzierung in der sozialÂ­pÃ¤dagogischen Wohngruppe in HÃ¤ggenschwil die zweijÃ¤hrige UnterstÃ¼tÂ­zungspflicht des Heimatkantons durch die BegrÃ¼ndung des eigenen UnterÂ­stÃ¼tzungswohnsitzes ausgelÃ¶st wird. Beide beteiligten Kantone gehen davon aus, dass Y grundsÃ¤tzlich einen eigenen UnterstÃ¼tzungswohnsitz begrÃ¼ndet und mit der Fremdplatzierung in HÃ¤ggenschwil den Kanton Thurgau dauernd verlassen hat. Das kantonale FÃ¼rsorgeamt stÃ¼tzt sich fÃ¼r seine Auffassung auf Art. 8 lit. c ZUG, wonach e contrario die bisherige Wohnsitzdauer nicht anzuÂ­rechnen ist, wenn das Kind den Wohnkanton verlÃ¤sst. Es verweist auch auf den Bundesgerichtsentscheid im Fall Nr. 2A.134/2006. Der beschwerdeÂ­fÃ¼hrende Kanton ZÃ¼rich sieht den massgeblichen Unterschied zwischen dieÂ­sem Bundesgerichtsentscheid und dem vorliegenden Fall darin, dass Y vor der Fremdplatzierung mehr als zwei Jahre im Kanton Thurgau gelebt hat, was im bundesgerichtlichen Entscheid nicht der Fall war. Die AusfÃ¼hrung des BeschwerdefÃ¼hrers, wenn jeweils der Zeitpunkt der Fremdplatzierung massÂ­gebend fÃ¼r die Frage der Wohnsitzdauer sei, so bestehe ein Anreiz, das Kind in diesem Fall in einem anderen Kanton unterzubringen, damit die HeimatÂ­gemeinde die ersten zwei Jahre zahlen mÃ¼sse, ist zutreffend. Die grammatikaÂ­lische Auslegung von Art. 8 lit. c ZUG ist im Lichte der bundesgerichtlichen Rechtsprechung klar und die bisherige Wohnsitzdauer ist nur dann anzurechÂ­nen, wenn ein unmÃ¼ndiges Kind den Wohnkanton bei BegrÃ¼ndung eines eigeÂ­nen UnterstÃ¼tzungswohnsitzes nicht verlÃ¤sst. In der Tat hÃ¤lt das BundesÂ­gericht im zitierten Entscheid 2A.134/2006 in E. 4.4.2 fest was folgt: Â«Weil mit dem Eintritt ins Lehrlingsheim ein Kantonswechsel und die BegrÃ¼ndung eines eigenen UnterstÃ¼tzungswohnsitzes verbunden war, entstand die Ersatzpflicht des Heimatkantons. Diese blieb bis zur RÃ¼ckkehr des Kindes zum Vater und der damit verbundenen Wiederentstehung eines abgeleiteten UnterstÃ¼tzungswohnsitzes bestehen.Â» Entscheidendes Kriterium ist somit fÃ¼r die Anrechnung auch fÃ¼r das Bundesgericht offensichtlich die Frage, ob bei BegrÃ¼ndung eines eigenen UnterstÃ¼tzungswohnsitzes ein Wohnortwechsel nach ausserhalb des bisherigen Wohnsitzkantons stattfindet. In diesen FÃ¤llen lÃ¤sst die Formulierung von Art. 8 lit. c ZUG die RÃ¼ckerstattungspflicht der Heimatgemeinde nach Art. 16 ZUG, worauf Art. 8 ZUG ausdrÃ¼cklich verÂ­weist, fÃ¼r zwei Jahre wieder aufleben. Die RÃ¼ckerstattungspflicht und damit der Entscheid des kantonalen FÃ¼rsorgeamtes vom 6. Juni 2007 ist daher zu bestÃ¤tigen und die Beschwerde abzuweisen. Entscheid vom 14. November 2007 Dieser Entscheid wurde mit Beschwerde in Ã¶ffentlich-rechtlichen Angelegenheiten beim Bundesgericht angefochten, das abwies. Aus den ErwÃ¤gungen des Bundesgerichts: 4.1 Nach Art. 8 lit. c ZUG wird bei einem unmÃ¼ndigen Kind, das einen eigeÂ­nen UnterstÃ¼tzungswohnsitz begrÃ¼ndet, die bisherige Wohndauer angerechÂ­net, wenn es den Wohnkanton nicht verlÃ¤sst. 4.2 Im hier zu beurteilenden Fall ist die Wohnsitzdauer von Y respektive seiner Eltern im Kanton Thurgau nicht anrechenbar, da Y mit der Fremdplatzierung im Kanton St. Gallen den Kanton des bisherigen UnterstÃ¼tzungswohnsitzes nach Art. 7 Abs. 1 und 2 ZUG verlassen hat (Art. 8 lit. c ZUG e contrario; vgl. auch Urteil 2A.134/2006 vom 29. Juni 2006, E. 4.3 und 4.4). Entgegen der Ansicht des Kantons ZÃ¼rich ist Art. 8 lit. c ZUG losgelÃ¶st von Art. 8 lit. a ZUG zu sehen, wenn das unmÃ¼ndige Kind â wie hier â einen eigenen UnterÂ­stÃ¼tzungswohnsitz begrÃ¼ndet; denn wenn bei eigenem UnterstÃ¼tzungswohnÂ­sitz des unmÃ¼ndigen Kindes auch bei Verlassen des bisherigen UnterÂ­stÃ¼tzungskantons weiterhin der elterliche UnterstÃ¼tzungswohnsitz massÂ­gebend wÃ¤re, wÃ¤re Art. 8 lit. c ZUG obsolet. Daran Ã¤ndert auch die Berufung auf Rz 141 des Kommentars von Thomet (Kommentar zum Bundesgesetz Ã¼ber die ZustÃ¤ndigkeit fÃ¼r die UnterstÃ¼tzung BedÃ¼rftiger, 2. Aufl., ZÃ¼rich 1994) nichts, da sich die dortigen AusfÃ¼hrungen auf FÃ¤lle beziehen, bei welÂ­chen das Kind den Kanton des bisherigen UnterstÃ¼tzungswohnsitzes der Eltern gerade nicht verlassen hat. Dieses VerstÃ¤ndnis von Art. 8 lit. c ZUG steht auch in Einklang mit dem allgemeinen Beendigungsgrund von Art. 9 Abs. 1 ZUG, wonach eine Person, die aus dem Wohnsitzkanton wegzieht, ihren UnterstÃ¼tzungswohnsitz verliert. Somit hat der Kanton ZÃ¼rich als Heimatkanton gemÃ¤ss Art. 16 ZUG fÃ¼r die Kosten der Unterbringung von Y aufzukommen. Dem Einwand des Kantons ZÃ¼rich, damit werde einer verpÃ¶nten Abschiebung im Sinne von Art. 10 ZUG Vorschub geleistet, ist zu entgegnen, dass gerade mit Art. 10 ZUG eine Handhabe besteht, bei festgeÂ­stellter missbrÃ¤uchlicher ausserkantonaler Unterbringung den bisherigen UnterstÃ¼tzungswohnsitzkanton weiterhin kostenpflichtig zu erklÃ¤ren. VorÂ­liegend wird jedoch weder geltend gemacht noch ergeben sich aus den Akten Anhaltspunkte dafÃ¼r, dass die ausserkantonale Unterbringung von Y in rechtsmissbrÃ¤uchlicher Absicht erfolgte. Urteil vom 5. August 2008 (8C_829/2007)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