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TVR-2006-24 vom 1. Januar 2006</w:t>
      </w:r>
    </w:p>
    <w:p>
      <w:r>
        <w:t>TG Obergericht, 2006-01-01, DE</w:t>
      </w:r>
    </w:p>
    <w:p>
      <w:r>
        <w:rPr>
          <w:b/>
        </w:rPr>
        <w:t xml:space="preserve">Quelle: </w:t>
      </w:r>
      <w:r>
        <w:t>https://mcp.opencaselaw.ch/entscheid/tg_gerichte_TVR-2006-24</w:t>
      </w:r>
    </w:p>
    <w:p>
      <w:r>
        <w:t>FR: TG_GERICHTE TVR-2006-24 du 1 janvier 2006</w:t>
      </w:r>
    </w:p>
    <w:p>
      <w:r>
        <w:t>IT: TG_GERICHTE TVR-2006-24 del 1 gennaio 2006</w:t>
      </w:r>
    </w:p>
    <w:p>
      <w:pPr>
        <w:pStyle w:val="Heading2"/>
      </w:pPr>
      <w:r>
        <w:t>Erwägungen</w:t>
      </w:r>
    </w:p>
    <w:p>
      <w:r>
        <w:rPr>
          <w:b/>
        </w:rPr>
        <w:t>E. 1</w:t>
      </w:r>
    </w:p>
    <w:p>
      <w:r>
        <w:t>Bei der Frage des Vorliegens einer materiellen Enteignung ist entscheidend, ob von einer Nichteinzonung oder einer Auszonung auszugehen ist (E. 2). Fall einer Auszonung.</w:t>
      </w:r>
    </w:p>
    <w:p>
      <w:r>
        <w:rPr>
          <w:b/>
        </w:rPr>
        <w:t>E. 2</w:t>
      </w:r>
    </w:p>
    <w:p>
      <w:r>
        <w:t>Bei der Frage der besseren Nutzung eines GrundstÃ¼cks in naher Zukunft kommt der Erschliessungsfrage besonderes Gewicht zu. Wenn hiezu kein Gestaltungsplan notwendig ist, kann davon ausgegangen werden, eine Ãberbauung hÃ¤tte in naher Zukunft realisiert werden kÃ¶nnen (E. 3).</w:t>
      </w:r>
    </w:p>
    <w:p>
      <w:r>
        <w:rPr>
          <w:b/>
        </w:rPr>
        <w:t>E. 3</w:t>
      </w:r>
    </w:p>
    <w:p>
      <w:r>
        <w:t>Frage der Schwere des Eingriffs bei einer Auszonung von rund 40% einer gut 5'000 m2 aufweisenden Parzelle (E. 4).</w:t>
      </w:r>
    </w:p>
    <w:p>
      <w:r>
        <w:rPr>
          <w:b/>
        </w:rPr>
        <w:t>E. 4</w:t>
      </w:r>
    </w:p>
    <w:p>
      <w:r>
        <w:t>Die Gemeinde macht geltend, der Eingriff sei entschÃ¤digungsrechtlich nicht hinreichend schwer. Lediglich rund 2'000 m2 der insgesamt 5'083 m2 messenden Parzelle seien dem Nichtbaugebiet zugeschieden worden. Im verbleibenden Parzellenteil kÃ¶nnten problemlos drei EinfamilienhÃ¤user realisiert werden. Die Gemeinde bezieht sich insbesondere auf das im ZBl 1997 S. 368 ff. zitierte Bundesgerichtsurteil vom 21. August 1996. Dabei Ã¼bersieht sie, dass in jenem Fall, in welchem zwei Parzellen infolge Baulinienfestsetzungen fÃ¼r die Erstellung einer Umfahrungsstrasse in die Freihaltezone zugewiesen worden waren, weder je einzeln noch zusammen baulich sinnvoll nutzbar waren. Das Bundesgericht kam zur Ãberzeugung, die EingriffsintensitÃ¤t sei nicht hinreichend schwer. Jenem Urteil lag eine EinschrÃ¤nkung auf 28 DoppeleinfamilienhÃ¤user gegenÃ¼ber 42 zu Grunde (also etwa ein Drittel). In diesem Urteil hÃ¤lt das Bundesgericht fest, die Eigentumsgarantie gewÃ¤hrleiste nicht die dauernde bestmÃ¶gliche Ausnutzung einer Baulandparzelle. Mit Ãnderungen im zulÃ¤ssigen Nutzungsmass, die im Ã¶ffentlichen Interesse lÃ¤gen, mÃ¼sse der GrundeigentÃ¼mer grundsÃ¤tzlich rechnen, ohne dass er dafÃ¼r entschÃ¤digt werde. Im vorliegenden Fall ist eine TeilflÃ¤che von rund 2'000 m2, das heisst rund 40% der GesamtflÃ¤che der Parzelle, ausgezont worden. WÃ¤re dieser Teil eine eigene Parzelle, wÃ¼rde wohl die Diskussion darÃ¼ber, ob die EingriffsintensitÃ¤t genÃ¼gend hoch sei, gar nicht gefÃ¼hrt werden. Zudem war vor dem Eingriff, wie dargelegt worden ist, die Parzelle durchaus baulich nutzbar. Im zweiten von der Gemeinde herangezogenen Urteil des Verwaltungsgerichts des Kantons Bern (BVR 1995, S. 167) erfolgte eine Â«HerabzonungÂ» mit einem entsprechenden Ausnutzungsverlust von 45%. Dieses bernische Urteil trÃ¤gt somit fÃ¼r den vorliegenden Fall nichts bei. Im Urteil des Bundesgerichtes vom 14. Dezember 1983 (ZBl 1984 S. 366 ff.) ging es um ein GrundstÃ¼ck im Ausmass von 4'030 m2, dessen unÃ¼berbauter sÃ¼dlicher Teil im Umfang von 950 m2 ausgezont wurde. Der in der Bauzone verbleibende Teil war mit einer stattlichen Villa Ã¼berbaut. Eine weitere bauliche Nutzung des nÃ¶rdlichen Teils erschien noch mÃ¶glich. Der ausgezonte sÃ¼dliche Teil konnte als Umschwung und Garten benutzt werden. Eine Ãberbauung des sÃ¼dlichen Teils hÃ¤tte die Aussicht aus der bestehenden Ãberbauung beeintrÃ¤chtigt und diese entwertet. Diese Auszonung stellte somit auch einen werterhaltenden Faktor dar. BezÃ¼glich der EingriffsintensitÃ¤t entscheidend ist nicht allein die prozentuale Wertverminderung, sondern ob auf der betreffenden Parzelle eine bestimmungsgemÃ¤sse, wirtschaftlich gute Nutzung weiterhin mÃ¶glich ist. Diese Rechtsprechung bezieht sich insbesondere auf die EinschrÃ¤nkung des Nutzungsmasses und die Art der baulichen Nutzung (vgl. beispielsweise BGE 123 II 489 E. 6d). In den FÃ¤llen, in welchen eine EigentumsbeschrÃ¤nkung nur den Teil eines grÃ¶sseren Ganzen trifft, ist grundsÃ¤tzlich vom Objekt als Ganzem auszugehen, vorbehÃ¤ltlich besonderer UmstÃ¤nde, die diese Betrachtungsweise als unbillig erscheinen lassen. Derartige UmstÃ¤nde liegen beispielsweise gemÃ¤ss BGE 89 I 385 f. vor, wenn ein Bauverbot allein auf jenem Teil eines GrundstÃ¼cks gilt, der sich fÃ¼r eine Ãberbauung tatsÃ¤chlich auch eignet. Die Doktrin fordert, dass jedenfalls die selbstÃ¤ndig verwertbaren Teile des betroffenen Objektes bei der Beurteilung der EingriffsintensitÃ¤t fÃ¼r sich allein betrachtet werden sollten, da andernfalls EigentÃ¼mer grosser Parzellen regelmÃ¤ssig benachteiligt wÃ¼rden (Riva, Hauptfragen der materiellen Enteignung, S. 268 f.). In BGE 101 Ib 290 E. 9b wird festgehalten, dass die BerÃ¼cksichtigung des Ganzen nicht absolut gilt, sondern die besonderen UmstÃ¤nde zu berÃ¼cksichtigen sind. Ãndern sich die Voraussetzungen infolge der planerischen EinschrÃ¤nkung, unter denen die Parzelle gekauft worden war (zur Erstellung eines FabrikgebÃ¤udes, was nun ausgeschlossen war), so liege ein schwerer Eingriff vor. So ist eine schlechte tatsÃ¤chliche Eignung des betroffenen Objektes fÃ¼r den entzogenen Gebrauch ein Indiz fÃ¼r eine geringe EingriffsintensitÃ¤t. Dies trifft im vorliegenden Fall nicht zu. Allerdings behauptet die Gemeinde, P kÃ¶nne auf der in der Bauzone verbleibenden Restparzelle problemlos noch beispielsweise drei EinfamilienhÃ¤user verwirklichen. Indessen ist zu berÃ¼cksichtigen, dass die Restparzelle nun nicht mehr der WG2, sondern der Dorfkern- und Weilerzone zugewiesen ist. Die ÃberbauungsmÃ¶glichkeit ist dadurch und durch die neu eingefÃ¼hrte Gestaltungsplanpflicht eingeschrÃ¤nkt. Auch liegt der noch Ã¼berbaubare Teil der Parzelle neu in einer spÃ¤teren Erschliessungsphase, so dass sich auch daraus eine erhebliche EinschrÃ¤nkung ergibt. Zudem ist der sÃ¼dliche Teil der Parzelle nicht derart Â«organischÂ» mit der in der Bauzone verbleibenden Restparzelle und deren Bebauung verbunden, wie in erwÃ¤hntem Entscheid betreffend die stattliche Villa. Es kann nicht behauptet werden, die sÃ¼dliche Restparzelle bleibe zum Werterhalt des bisherigen Wohnhauses am besten unÃ¼berbaut und diene als Garten und Umgebung. DafÃ¼r ist der sÃ¼dliche, ausgezonte Parzellenteil zu gross und zu geeignet zur Bebauung. Daraus ergibt sich, dass der sÃ¼dliche Parzellenteil durchaus auch in seiner Dimensionierung zur Abparzellierung geeignet ist. WÃ¤re das eher zufÃ¤llige Element der Abparzellierung erfÃ¼llt, so bestÃ¼nde â wie gesagt â wohl kaum Anlass zur Diskussion darÃ¼ber, ob ein erheblicher Eingriff in die Eigentumsrechte im Sinne einer materiellen Enteignung vorliege. Obwohl das Bundesgericht in der Regel die gesamthafte Betrachtung vornimmt und eine theoretische Abparzellierung ausser Acht lÃ¤sst, erscheint dies im vorliegenden Fall doch notwendig. Es handelt sich also um einen hinreichend schweren Eingriff.</w:t>
      </w:r>
    </w:p>
    <w:p>
      <w:r>
        <w:rPr>
          <w:b/>
        </w:rPr>
        <w:t>E. 5</w:t>
      </w:r>
    </w:p>
    <w:p>
      <w:r>
        <w:t>a) Die Gemeinde rÃ¼gt schliesslich, sie habe zur SchÃ¤tzung des Verkehrswertes durch die Enteignungskommission nicht Stellung nehmen kÃ¶nnen. Dies trifft, soweit ersichtlich, zu. Darin liegt eine Verletzung des rechtlichen GehÃ¶rs. Allerdings fÃ¼hrt das nicht zur Kassation des Entscheides, da die Rechtsverletzung im laufenden Verwaltungsgerichtsverfahren ohne weiteres als geheilt betrachtet werden kann, hat die Gemeinde doch in diesem Verfahren dazu Stellung genommen und kommt dem Verwaltungsgericht volle ÃberprÃ¼fungsbefugnis zu. b) Die Gemeinde bemÃ¤ngelt, der geschÃ¤tzte Landpreis stimme nicht mit den effektiv bezahlten Kaufpreisen fÃ¼r unerschlossenes Land Ã¼berein. Die SchÃ¤tzungskommission sei von mindestens groberschlossenem Land ausgegangen. Deshalb habe sie den Verkehrswert zu hoch eingestuft. Ob die SchÃ¤tzung in den Ã¼brigen Punkten nicht nachvollziehbar ist, wird in der Beschwerdeschrift nicht thematisiert. Die beiden Mitglieder der Enteignungskommission fÃ¼hren in ihrem SchÃ¤tzungsbericht vom 24. Mai 2005 entsprechend dem durchschnittlichen Verkaufspreis vergleichbarer GrundstÃ¼cke gemÃ¤ss Amtsbericht des Grundbuchamtes einen Verkehrswert von Fr. 190.â pro m2 an. Der entsprechende Amtsbericht vom 29. April 2005 fÃ¼hrte HandÃ¤nderungen in der Zeitspanne vom 1. Januar 2003 bis zum 29. April 2005 an. Allerdings fanden im Berichtszeitraum nur zehn HandÃ¤nderungen von Baulandparzellen statt. Zwei Parzellen waren lediglich teilweise erschlossen und erzielten Preise von Fr. 131.â beziehungsweise Fr. 177.â pro m2. Erschlossene Parzellen erzielten Verkaufspreise zwischen Fr. 161.â und Fr. 225.â pro m2. Die BeschwerdefÃ¼hrerin selber biete vollerschlossenes Bauland zu Preisen um Fr. 185.â pro m2 an. Nachdem (mit Ausnahme der Annahme der Groberschliessung) gegen diese SchÃ¤tzungsgrundlagen nicht explizit opponiert worden ist, erscheint der entsprechende Verkehrswert von Fr. 190.â und die fÃ¼r die noch notwendige Erschliessung geschÃ¤tzte Aufwendung von Fr. 30.â pro m2 als angemessen, auch wenn nicht zu verkennen ist, dass die Erschliessungskosten fÃ¼r den Strassenausbau nur auf die GrundstÃ¼cke in der Bauzone und nicht auch auf diejenigen in der Landwirtschaftszone Ã¼berwÃ¤lzbar sind. Ebenfalls unbestritten geblieben ist der zum Abzug gelangende Verkehrswert fÃ¼r Landwirtschaftsland in der HÃ¶he von Fr. 7.â pro m2. Der hÃ¶chstzulÃ¤ssige Verkaufspreis nach BGBB entsprechend der Festsetzung durch das Landwirtschaftsamt belÃ¤uft sich auf Fr. 7.50 pro m2. Auch dieser Wert, der von keiner Seite in Frage gestellt worden ist, ist nachvollziehbar. Damit ist der zu entschÃ¤digende Wert von Fr. 153.â pro m2 nicht zu beanstanden. Entscheid vom 13. Dezember 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