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TVR-2006-20 vom 1. Januar 2006</w:t>
      </w:r>
    </w:p>
    <w:p>
      <w:r>
        <w:t>TG Obergericht, 2006-01-01, DE</w:t>
      </w:r>
    </w:p>
    <w:p>
      <w:r>
        <w:rPr>
          <w:b/>
        </w:rPr>
        <w:t xml:space="preserve">Quelle: </w:t>
      </w:r>
      <w:r>
        <w:t>https://mcp.opencaselaw.ch/entscheid/tg_gerichte_TVR-2006-20</w:t>
      </w:r>
    </w:p>
    <w:p>
      <w:r>
        <w:t>FR: TG_GERICHTE TVR-2006-20 du 1 janvier 2006</w:t>
      </w:r>
    </w:p>
    <w:p>
      <w:r>
        <w:t>IT: TG_GERICHTE TVR-2006-20 del 1 gennaio 2006</w:t>
      </w:r>
    </w:p>
    <w:p>
      <w:pPr>
        <w:pStyle w:val="Heading2"/>
      </w:pPr>
      <w:r>
        <w:t>Erwägungen</w:t>
      </w:r>
    </w:p>
    <w:p>
      <w:r>
        <w:rPr>
          <w:b/>
        </w:rPr>
        <w:t>E. 2</w:t>
      </w:r>
    </w:p>
    <w:p>
      <w:r>
        <w:t>Die Minimalsteuer ist in der Doktrin nicht unumstritten. Diese Kontroverse betrifft indessen vor allem die Minimalsteuer auf dem Umsatz juristischer Personen und weniger diejenige auf den Liegenschaften juristischer Personen (Imboden, Die Voraussetzungen einer verfassungsmÃ¤ssigen Minimalsteuer, ASA 34 S. 193 ff.; Hensel, Die Verfassung als Schranke des Steuerrechts, Diss. St. Gallen 1972, S. 91 ff.; vgl. auch BGE 96 I 560 E. 3 S. 566 ff.). Ein Fall, der die thurgauische Minimalsteuer auf Liegenschaften betraf, lag dem Bundesgericht bereits in BGE 96 I 64 vor. In diesem Entscheid hat das Bundesgericht im Lichte der durch Art. 4 aBV aufgestellten GrundsÃ¤tze die thurgauische Minimalsteuer auf Liegenschaften (damals Â§ 61 des Steuergesetzes vom 9. Juli 1964) als verfassungsmÃ¤ssig erklÃ¤rt. In einem neueren Urteil vom 2. MÃ¤rz 2005 hatte es sich mit der Minimalsteuer des Kantons Appenzell I.Rh. zu befassen, die ebenfalls auf Liegenschaften erhoben wird (Art. 76 des Steuergesetzes des Kantons Appenzell I.Rh. vom 25. April 1999) und die eine Ã¤hnliche Regelung wie die thurgauische Minimalsteuer auf Liegenschaften aufweist. Auch diese Minimalsteuer war nicht zu beanstanden (vgl. StR 60/2005 S. 689 E. 2). Im Lichte dieser Rechtsprechung, von der abzuweichen kein Anlass besteht, ist nicht ersichtlich, inwiefern die vorliegend in Frage stehende thurgauische Minimalsteuer auf Liegenschaften verfassungswidrig sein kÃ¶nnte.</w:t>
      </w:r>
    </w:p>
    <w:p>
      <w:r>
        <w:rPr>
          <w:b/>
        </w:rPr>
        <w:t>E. 3</w:t>
      </w:r>
    </w:p>
    <w:p>
      <w:r>
        <w:t>Die BeschwerdefÃ¼hrerin macht geltend, sie werde gegenÃ¼ber den privaten GrundeigentÃ¼mern rechtsungleich behandelt, weil diese die Belastungen der Liegenschaften (Hypothekardarlehen, Zinsen) vom steuerbaren VermÃ¶gen und Einkommen in Abzug bringen kÃ¶nnten. Das verstosse gegen das Gebot der rechtsgleichen Behandlung, sei willkÃ¼rlich und verletze Ã¼berdies die Eigentumsgarantie (was nÃ¤her ausgefÃ¼hrt wird). â Dass die Minimalsteuer nur von juristischen Personen erhoben wird, verletzt den Grundsatz der Rechtsgleichheit indessen nicht, wie das Bundesgericht in Bezug auf die thurgauische Minimalsteuer bereits erkannt hat (BGE 96 I 64 E. 2c S. 68). Die juristischen Personen werden zudem allgemein anders besteuert als die natÃ¼rlichen Personen. Die Minimalsteuer juristischer Personen soll von ihrem Zweckgedanken her eine minimale fiskalische Belastung der im Kanton liegenden unbeweglichen GÃ¼ter sicherstellen, die sonst mangels eines genÃ¼genden Ertrages unbesteuert bleiben wÃ¼rden (Imboden, a.a.O., S. 195). Die Besteuerung einer juristischen Person lÃ¤sst sich zudem in keiner Weise mit derjenigen einer natÃ¼rlichen Person vergleichen, welche hinsichtlich ihrer wirtschaftlichen LeistungsfÃ¤higkeit anderen BeschrÃ¤nkungen unterliegt, indem sie namentlich auch fÃ¼r ihren Lebensunterhalt und denjenigen ihrer Familie aufkommen muss. Es kann daher nicht gesagt werden, Gleiches werde ungleich behandelt, wenn die Minimalsteuer bei den natÃ¼rlichen Personen nicht erhoben wird. Urteil vom 9. November 2006 (2A.653/2006)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