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TVR-2004-42 vom 1. Januar 2004</w:t>
      </w:r>
    </w:p>
    <w:p>
      <w:r>
        <w:t>TG Obergericht, 2004-01-01, DE</w:t>
      </w:r>
    </w:p>
    <w:p>
      <w:r>
        <w:rPr>
          <w:b/>
        </w:rPr>
        <w:t xml:space="preserve">Quelle: </w:t>
      </w:r>
      <w:r>
        <w:t>https://mcp.opencaselaw.ch/entscheid/tg_gerichte_TVR-2004-42</w:t>
      </w:r>
    </w:p>
    <w:p>
      <w:r>
        <w:t>FR: TG_GERICHTE TVR-2004-42 du 1 janvier 2004</w:t>
      </w:r>
    </w:p>
    <w:p>
      <w:r>
        <w:t>IT: TG_GERICHTE TVR-2004-42 del 1 gennaio 2004</w:t>
      </w:r>
    </w:p>
    <w:p>
      <w:pPr>
        <w:pStyle w:val="Heading2"/>
      </w:pPr>
      <w:r>
        <w:t>Erwägungen</w:t>
      </w:r>
    </w:p>
    <w:p>
      <w:r>
        <w:rPr>
          <w:b/>
        </w:rPr>
        <w:t>E. 1</w:t>
      </w:r>
    </w:p>
    <w:p>
      <w:r>
        <w:t>Â§ 7 VRG unterscheidet nicht zwischen Ausstandsund AblehnungsgrÃ¼nden. Es sind daher auch BefangenheitsgrÃ¼nde von Amtes wegen zu beachten.</w:t>
      </w:r>
    </w:p>
    <w:p>
      <w:r>
        <w:rPr>
          <w:b/>
        </w:rPr>
        <w:t>E. 2</w:t>
      </w:r>
    </w:p>
    <w:p>
      <w:r>
        <w:t>Befangenheit eines GeschÃ¤ftsfÃ¼hrers eines regionalen Verbandes der Krankenversicherer als Vertreter einer diesem angehÃ¶renden Krankenkasse in einem Schiedsgerichtsfall, bei dem diese Krankenkasse Partei ist und der sich im Vorfeld in einem Zeitungsartikel in grundsÃ¤tzlicher Art Ã¼ber die Streitgegenstand bildenden Fragen geÃ¤ussert hat. Mit Klage vom 13. August 2003 lÃ¤sst M, dipl. Psychiatriekrankenschwester SRK, beim Schiedsgericht des Kantons Thurgau das Begehren stellen, die Krankenkasse C sei zu verpflichten, ihr fÃ¼r erbrachte Pflichtleistungen den Betrag von Fr. 8â472.10 nebst 5% Zins seit dem 1. August 2002 zu bezahlen. Daraufhin wurden die Parteien aufgefordert, unter BerÃ¼cksichtigung der Rechtsprechung, ihren Vertreter im Schiedsgericht zu nominieren. Die KlÃ¤gerin nominierte Dr. med. W, Ã¤rztlicher Leiter einer Psychiatrischen Klinik. Die Beklagte C nominierte A, GeschÃ¤ftsfÃ¼hrer von santÃ©suisse. Der PrÃ¤sident des Verwaltungsgerichts setzte den Parteien Frist, um ein allfÃ¤lliges begrÃ¼ndetes Rekusationsbegehren einzureichen. Mit Schreiben vom 23. Oktober 2003 liess die KlÃ¤gerin mitteilen, sie verzichte auf ausdrÃ¼ckliche Opposition gegen den vorgeschlagenen A. Seine eng mit der Beklagten und ihren Interessen verbundene Funktion als GeschÃ¤ftsfÃ¼hrer der santÃ©suisse wisse das Gericht sicher zu wÃ¼rdigen. Der PrÃ¤sident des Verwaltungsgerichts forderte alsdann die C auf, zu diesem sinngemÃ¤ssen Rekusationsbegehren Stellung zu nehmen beziehungsweise eine allfÃ¤llige Ersatznomination vorzunehmen. Am 17. Dezember 2003 teilte die C im Wesentlichen mit, sie halte fest, dass mit Bezug auf A weder UmstÃ¤nde im Sinne von Art. 23 lit. b OG, welche einen Ausstand zu begrÃ¼nden vermÃ¶chten, noch UmstÃ¤nde gemÃ¤ss Â§ 7 VRG vorlÃ¤gen. A sei zwar GeschÃ¤ftsfÃ¼hrer der santÃ©suisse und die C Mitglied dieses Branchenverbandes, doch komme ihm mit Bezug auf die C weder die Funktion eines Organes noch die eines Mitarbeiters zu. Es seien keine UmstÃ¤nde gegeben, die den Anschein und die Gefahr der Voreingenommenheit in objektiver Weise zu begrÃ¼nden vermÃ¶chten. In der Regeste zu BGE 115 V 257 halte das Bundesgericht sogar ausdrÃ¼cklich fest, dass KassenfunktionÃ¤re grundsÃ¤tzlich als Schiedsrichter tÃ¤tig sein dÃ¼rften. Die Krankenversicherer kÃ¤men in eine nicht zu unterschÃ¤tzende Schwierigkeit, wenn sie generell keine santÃ©suisse-Vertreter mehr als Schiedsrichter nominieren dÃ¼rften. DemgemÃ¤ss halte sie an der Nomination von A fest. Das Verwaltungsgericht als Versicherungsgericht weist die Nomination von A zurÃ¼ck und setzt der C Frist zur Nennung eines neuen Vertreters. Aus den ErwÃ¤gungen: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