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SBR.2022.4 vom 17. Mai 2022</w:t>
      </w:r>
    </w:p>
    <w:p>
      <w:r>
        <w:t>TG Obergericht, 2022-05-17, DE</w:t>
      </w:r>
    </w:p>
    <w:p>
      <w:r>
        <w:rPr>
          <w:b/>
        </w:rPr>
        <w:t xml:space="preserve">Quelle: </w:t>
      </w:r>
      <w:r>
        <w:t>https://mcp.opencaselaw.ch/entscheid/tg_gerichte_SBR.2022.4</w:t>
      </w:r>
    </w:p>
    <w:p>
      <w:r>
        <w:t>FR: TG_GERICHTE SBR.2022.4 du 17 mai 2022</w:t>
      </w:r>
    </w:p>
    <w:p>
      <w:r>
        <w:t>IT: TG_GERICHTE SBR.2022.4 del 17 maggio 2022</w:t>
      </w:r>
    </w:p>
    <w:p>
      <w:pPr>
        <w:pStyle w:val="Heading2"/>
      </w:pPr>
      <w:r>
        <w:t>Volltext</w:t>
      </w:r>
    </w:p>
    <w:p>
      <w:r>
        <w:t>Keine Spesenpauschalen bei Barauslagen; BestÃ¤tigung von RBOG 1996 Nr. 48 Â§ 14 aAnwT (Stand vom 09.07.1991) Zum Honorar hinzuzurechnen sind die Barauslagen[1]. Der amtliche Verteidiger machte eine Spesenpauschale von 3% seines Honorars geltend. Spesenpauschalen fÃ¼r die Barauslagen, die sich in Prozenten des Honorars bemessen, sind nach der Praxis des Obergerichts jedoch nicht zulÃ¤ssig[2]. Fehlen in einer Honorarnote konkrete Angaben Ã¼ber die Barauslagen, sind sie vom Gericht zu schÃ¤tzen[3]. Obergericht, 1. Abteilung, 17. Mai 2022, SBR.2022.4 Eine dagegen erhobene Beschwerde schÃ¼tzte das Bundesgericht am 9. Oktober 2023 und wies die Sache an das Obergericht zurÃ¼ck (6B_68/2023). [1] Â§ 14 AnwT (Verordnung des Obergerichts Ã¼ber den Anwaltstarif fÃ¼r Zivil- und Strafsachen, RB 176.31) [2]  Vgl. RBOG 1996 Nr. 48 [3]  Vgl. RBOG 1993 Nr. 42 Erw. 1.a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