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SBR.2021.74 vom 1. Januar 2022</w:t>
      </w:r>
    </w:p>
    <w:p>
      <w:r>
        <w:t>TG Obergericht, 2022-01-01, DE</w:t>
      </w:r>
    </w:p>
    <w:p>
      <w:r>
        <w:rPr>
          <w:b/>
        </w:rPr>
        <w:t xml:space="preserve">Quelle: </w:t>
      </w:r>
      <w:r>
        <w:t>https://mcp.opencaselaw.ch/entscheid/tg_gerichte_SBR.2021.74</w:t>
      </w:r>
    </w:p>
    <w:p>
      <w:r>
        <w:t>FR: TG_GERICHTE SBR.2021.74 du 1 janvier 2022</w:t>
      </w:r>
    </w:p>
    <w:p>
      <w:r>
        <w:t>IT: TG_GERICHTE SBR.2021.74 del 1 gennaio 2022</w:t>
      </w:r>
    </w:p>
    <w:p>
      <w:pPr>
        <w:pStyle w:val="Heading2"/>
      </w:pPr>
      <w:r>
        <w:t>Volltext</w:t>
      </w:r>
    </w:p>
    <w:p>
      <w:r>
        <w:t>Anpassung des informellen Dispositivs im Berufungsverfahren bei einem offensichtlichen Versehen Art. 83 StPO Die EntschÃ¤digung des BerufungsklÃ¤gers fÃ¼r das Berufungsverfahren betrÃ¤gt Fr. 4'525.00. Da er zur HÃ¤lfte obsiegt, hat der Staat ihn mit Fr. 2'262.50 zuzÃ¼glich 7,7% Mehrwertsteuer zu entschÃ¤digen. Im informell versandten Dispositiv wurde irrtÃ¼mlich die gesamte EntschÃ¤digung zugesprochen. Dieses offensichtliche Versehen im informell versandten Urteilsdispositiv ist entsprechend anzupassen[1]. Obergericht, 1. Abteilung, 10. MÃ¤rz 2022, SBR.2021.74 Eine dagegen erhobene Beschwerde wies das Bundesgericht am 22. Mai 2024 ab, soweit es darauf eintrat (7B_282/2022). [1]  Vgl. Art. 83 Abs. 1 StPO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