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RBOG-2021-30 vom 1. Januar 2021</w:t>
      </w:r>
    </w:p>
    <w:p>
      <w:r>
        <w:t>TG Obergericht, 2021-01-01, DE</w:t>
      </w:r>
    </w:p>
    <w:p>
      <w:r>
        <w:rPr>
          <w:b/>
        </w:rPr>
        <w:t xml:space="preserve">Quelle: </w:t>
      </w:r>
      <w:r>
        <w:t>https://mcp.opencaselaw.ch/entscheid/tg_gerichte_RBOG-2021-30</w:t>
      </w:r>
    </w:p>
    <w:p>
      <w:r>
        <w:t>FR: TG_GERICHTE RBOG-2021-30 du 1 janvier 2021</w:t>
      </w:r>
    </w:p>
    <w:p>
      <w:r>
        <w:t>IT: TG_GERICHTE RBOG-2021-30 del 1 gennaio 2021</w:t>
      </w:r>
    </w:p>
    <w:p>
      <w:pPr>
        <w:pStyle w:val="Heading2"/>
      </w:pPr>
      <w:r>
        <w:t>Volltext</w:t>
      </w:r>
    </w:p>
    <w:p>
      <w:r>
        <w:t>Kosten- und EntschÃ¤digungsfolgen des unterliegenden PrivatklÃ¤gers; Ãnderung der Rechtsprechung von RBOG 2018 Nr. 20 Art. 429 Abs. 1 StPO , Art. 432 Abs. 2 StPO , Art. 436 Abs. 1 StPO 1. Die Staatsanwaltschaft stellte das Strafverfahren gegen die Beschwerdegegner ein. Auf die Beschwerde der PrivatklÃ¤gerschaft gegen diesen Entscheid ist mangels Beschwerdelegitimation nicht einzutreten. 2. a) Entsprechend der bisherigen Praxis des Obergerichts waren nach dem Verursacherprinzip dem unterliegenden PrivatklÃ¤ger die Parteikosten des Beschwerdegegners aufzuerlegen[1]. Das Obergericht erwog in RBOG 2018 Nr. 20, bei einer Abweisung der Beschwerde des PrivatklÃ¤gers, mithin einer BestÃ¤tigung der EinstellungsverfÃ¼gung der Staatsanwaltschaft, obsiege der Staat im Ergebnis, weshalb es als stossend erscheine, diesem die Kosten der Verteidigung der beschuldigten Person aufzuerlegen; dass der Staat eine Verantwortung fÃ¼r das Strafverfahren trage, Ã¤ndere daran nichts. b) In BGE 147 IV 47 prÃ¤zisierte das Bundesgericht seine bisherige Rechtsprechung[2] und hielt fest, die EntschÃ¤digung der beschuldigten Person fÃ¼r die angemessene AusÃ¼bung ihrer Verfahrensrechte gehe bei einer Einstellung des Strafverfahrens oder bei einem Freispruch zulasten des Staats, wenn es sich um ein Offizialdelikt handle[3], und zulasten der PrivatklÃ¤gerschaft, wenn es um ein Antragsdelikt gehe[4]. Im Berufungsverfahren betreffend Offizialdelikte werde die unterliegende PrivatklÃ¤gerschaft entschÃ¤digungspflichtig, im Beschwerdeverfahren hingegen der Staat. Gehe es um ein Antragsdelikt, werde sowohl im Berufungs- wie im Beschwerdeverfahren die PrivatklÃ¤gerschaft entschÃ¤digungspflichtig[5]. c) Angesichts dieser prÃ¤zisierten und mehrfach bestÃ¤tigten[6] Rechtsprechung des Bundesgerichts kann an der Praxis des Obergerichts gemÃ¤ss RBOG 2018 Nr. 20 nicht festgehalten werden. d) Die staatsanwaltschaftliche Verfahrenseinstellung bezog sich auf ein Offizialdelikt. Bei diesen Delikten trÃ¤gt die gegen die EinstellungsverfÃ¼gung allein Beschwerde erhebende PrivatklÃ¤gerschaft ein latent weiterbestehendes Ã¶ffentliches Strafverfolgungsinteresse mit. Deshalb geht die EntschÃ¤digung der obsiegenden beschuldigten Personen im Beschwerdeverfahren fÃ¼r die durch die AntrÃ¤ge im Schuldpunkt verursachten Aufwendungen zulasten des Staats[7]. Somit hat der Staat die Beschwerdegegner zu entschÃ¤digen. Obergericht, 2. Abteilung, 7. Juli / 12. August 2021, SW.2020.90 [1] RBOG 2018 Nr. 20; RBOG 2017 Nr. 32 [2] Insbesondere BGE 141 IV 476 ff. und BGE 139 IV 45 ff. [3] Art. 429 Abs. 1 StPO [4] Art. 432 Abs. 2 StPO [5] Art. 436 Abs. 1 i.V.m. Art. 432 Abs. 2 StPO [6] BGE vom 12. April 2021, 6B_1144/2020, 6B_1145/2020, Erw. 6.1; BGE vom 20. Januar 2021, 6B_1254/2020, Erw. 7; vgl. BGE vom 19. Februar 2021, 6B_7/2021, Erw. 5 [7] Art. 429 StPO; BGE 147 IV 54; BGE vom 20. Januar 2021, 6B_1254/2020, Erw. 7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