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RBOG-2016-36 vom 1. Januar 2016</w:t>
      </w:r>
    </w:p>
    <w:p>
      <w:r>
        <w:t>TG Obergericht, 2016-01-01, DE</w:t>
      </w:r>
    </w:p>
    <w:p>
      <w:r>
        <w:rPr>
          <w:b/>
        </w:rPr>
        <w:t xml:space="preserve">Quelle: </w:t>
      </w:r>
      <w:r>
        <w:t>https://mcp.opencaselaw.ch/entscheid/tg_gerichte_RBOG-2016-36</w:t>
      </w:r>
    </w:p>
    <w:p>
      <w:r>
        <w:t>FR: TG_GERICHTE RBOG-2016-36 du 1 janvier 2016</w:t>
      </w:r>
    </w:p>
    <w:p>
      <w:r>
        <w:t>IT: TG_GERICHTE RBOG-2016-36 del 1 gennaio 2016</w:t>
      </w:r>
    </w:p>
    <w:p>
      <w:pPr>
        <w:pStyle w:val="Heading2"/>
      </w:pPr>
      <w:r>
        <w:t>Volltext</w:t>
      </w:r>
    </w:p>
    <w:p>
      <w:r>
        <w:t>Internationale FreizÃ¼gigkeit eines deutschen Rechtsanwalts Art. 5 ff. BGFA , Art. 21 ff. BGFA , Art. 27 ff. BGFA , Art. 30 BGFA 1. Die Beschwerdegegnerin bestritt wie bereits vor Vorinstanz die Vertretungsbefugnis des deutschen Rechtsvertreters des BeschwerdefÃ¼hrers. Dieser Rechtsbeistand, der nicht in der EU- oder EFTA-Anwaltsliste des Kantons Thurgau eingetragen sei, wirke in mindestens sieben Verfahren im Kanton Thurgau als Rechtsvertreter des BeschwerdefÃ¼hrers mit. Damit habe er die Grenze von der dienstleistungserbringenden AnwaltstÃ¤tigkeit zur stÃ¤ndigen Vertretung Ã¼berschritten, weshalb in diesem Verfahren eine Vertretung des BeschwerdefÃ¼hrers nicht (mehr) zulÃ¤ssig sei. 2. a) Mit Recht wies die Vorinstanz auf die Abgrenzung zwischen der stÃ¤ndigen AusÃ¼bung des Anwaltsberufs durch AnwÃ¤ltinnen und AnwÃ¤lte aus Mitgliedstaaten der EU oder der EFTA im Sinn von Art. 27 ff. BGFA[1], die eintragungspflichtig ist, und der AusÃ¼bung des Anwaltsberufs im freien Dienstleistungsverkehr nach Art. 21 ff. BGFA, welche keine Eintragung bei der kantonalen AufsichtsbehÃ¶rde voraussetzt, hin. Die TÃ¤tigkeit im freien Dienstleistungsverkehr erlaubt bis zu 90 Arbeitstage in der Schweiz, ohne Aufenthaltserlaubnis und ohne Eintragung in die kantonalen Anwaltsregister. Die "stÃ¤ndige" Vertretung von Parteien vor GerichtsbehÃ¶rden in der Schweiz erfordert hingegen eine Eintragung in einer Ã¶ffentlichen Liste bei einer kantonalen AufsichtsbehÃ¶rde; diese Liste unterscheidet sich vom kantonalen Anwaltsregister im Sinn von Art. 5 ff. und 30 BGFA. Ausserdem bedÃ¼rfen die AnwÃ¤lte einer Aufenthaltserlaubnis. Ob die AnwaltstÃ¤tigkeit "stÃ¤ndig" nach Art. 27-29 BGFA oder lediglich "vorÃ¼bergehend" im Rahmen des Dienstleistungsverkehrs nach Art. 21-26 BGFA â und damit ohne Eintragung in die Liste sowie ohne Aufenthaltserlaubnis â ausgeÃ¼bt wird, ist nach ihrer HÃ¤ufigkeit und Dauer zu beurteilen. Die EinschÃ¤tzung als vorÃ¼bergehende Dienstleistung wird nicht dadurch ausgeschlossen, dass sich der betreffende Anwalt in der Schweiz mit einer bestimmten Infrastruktur ausstattet (zum Beispiel BÃ¼ro)[2]. b) GemÃ¤ss der Beschwerdegegnerin wirkte der deutsche Rechtsanwalt in mindestens sieben Verfahren im Kanton Thurgau als Rechtsvertreter des BeschwerdefÃ¼hrers mit. Diese HÃ¤ufung ist allerdings nicht als "stÃ¤ndige" AnwaltstÃ¤tigkeit im Sinn von Art. 27 ff. BGFA zu qualifizieren; vielmehr ist hier noch von einer TÃ¤tigkeit im freien Dienstleistungsverkehr, mithin von einer vorÃ¼bergehenden BeschÃ¤ftigung, auszugehen. Aus dem Umfang der Rechtsvertretungen vor dem Obergericht[3] lÃ¤sst sich nichts anderes ableiten. Obergericht, 2. Abteilung, 19. Mai 2016, BR.2016.24 [1] Anwaltsgesetz, SR 935.61 [2] BGE vom 9. August 2004, 2A.536/2003, Erw. 3.2.1 f. [3] Es waren seit 2011 insgesamt sieben Verfahren, an denen der Rechtsvertreter mitwirkte; in den Jahren 2011, 2012, 2013 wurden je ein und im Jahr 2016 drei Verfahren eingeleitet.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