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TG_ANWALTSKOMMISSION AK.2020.47</w:t>
      </w:r>
    </w:p>
    <w:p>
      <w:r>
        <w:t>TG Anwaltskommission, DE</w:t>
      </w:r>
    </w:p>
    <w:p>
      <w:r>
        <w:rPr>
          <w:b/>
        </w:rPr>
        <w:t xml:space="preserve">Quelle: </w:t>
      </w:r>
      <w:r>
        <w:t>https://mcp.opencaselaw.ch/entscheid/tg_anwaltskommission_AK-2020-47_Entbindung-20Anwaltsgeheimnis</w:t>
      </w:r>
    </w:p>
    <w:p>
      <w:pPr>
        <w:pStyle w:val="Heading2"/>
      </w:pPr>
      <w:r>
        <w:t>Erwägungen</w:t>
      </w:r>
    </w:p>
    <w:p>
      <w:r>
        <w:rPr>
          <w:b/>
        </w:rPr>
        <w:t>E. 1</w:t>
      </w:r>
    </w:p>
    <w:p>
      <w:r>
        <w:t>Am 13. Oktober 2020 ersuchte Rechtsanwalt X.__ um Entbindung vom Amts- und Anwaltsgeheimnis im Zusammenhang mit seiner Vorladung als Zeuge vor dem Bezirksgericht betreffend Ungültigkeitsklage. Aufgrund der Vorladung ergebe sich, dass es sich bei der Erblasserin um die verstorbene V.__ handle und dass deren Tes- tament als ungültig angefochten werde. Mit Blick auf die von ihm ausgeübten Funktio- nen (Rechtsanwalt und öffentliche Urkundsperson) werde ihm eine Zeugenaussage vor Gericht somit nur dann möglich sein, wenn er vom Berufs- als auch vom Amtsgeheim- nis entbunden werde.</w:t>
      </w:r>
    </w:p>
    <w:p>
      <w:r>
        <w:rPr>
          <w:b/>
        </w:rPr>
        <w:t>E. 2</w:t>
      </w:r>
    </w:p>
    <w:p>
      <w:r>
        <w:t>Brückner, Schweizerisches Beurkundungsrecht, Zürich 1993, N. 1172 f.</w:t>
      </w:r>
    </w:p>
    <w:p>
      <w:r>
        <w:rPr>
          <w:b/>
        </w:rPr>
        <w:t>E. 3</w:t>
      </w:r>
    </w:p>
    <w:p>
      <w:r>
        <w:t>Einführungsgesetz zum Schweizerischen Zivilgesetzbuch, RB 210.1</w:t>
      </w:r>
    </w:p>
    <w:p>
      <w:r>
        <w:rPr>
          <w:b/>
        </w:rPr>
        <w:t>E. 4</w:t>
      </w:r>
    </w:p>
    <w:p>
      <w:r>
        <w:t>§ 11e Abs. 2 der Verordnung des Obergerichts zum Anwaltsgesetz (AnwV, RB 176.11)</w:t>
      </w:r>
    </w:p>
    <w:p>
      <w:r>
        <w:t>rungsrates über das Grundbuch- und Notariatswesen5 finden sinngemäss Anwendung. Die Anwältinnen und Anwälte beachten bei Beurkundungen und Beglaubigungen die Berufsregeln, insbesondere bei der Frage einer allfälligen Interessenkollision6. Sie unterstehen somit für ihre gesamte Tätigkeit dem Anwaltsgeheimnis. Eine Aufteilung in Amts- und Berufsgeheimnis - mit der Folge, dass zwei verschiedene Aufsichtsbehör- den für die Entbindung zuständig wären - hat nicht stattzufinden und ist auch nicht sinnvoll, zumal neben der Beurkundung im Wesentlichen auch eine anwaltliche Tätig- keit im Vordergrund stehen dürfte. Folglich ist bezüglich der Geheimhaltung auch nicht von einer Aufsicht des Departements für Justiz und Sicherheit7 auszugehen und die Entbindung ist integral von der Anwaltskommission vorzunehmen. 3. a) Anwältinnen und Anwälte unterstehen zeitlich unbegrenzt und gegenüber jedermann dem Berufsgeheimnis über alles, was ihnen infolge ihres Berufes von ihrer Klientschaft anvertraut worden ist. Die Entbindung verpflichtet sie nicht zur Preisgabe von Anvertrautem8. Ein Berufsgeheimnis ist auch nach dem Tod des Mandanten zu beachten und muss vom Anwalt auch gegenüber den Erben gewahrt werden9. Der Anwalt kann - auf Gesuch hin - durch die gemäss Art. 14 BGFA zuständige Aufsichts- behörde vom Berufsgeheimnis entbunden werden10. Zuständig für die Entbindung vom Anwaltsgeheimnis ist die Aufsichtsbehörde an demjenigen Ort, an welchem der um Entbindung ersuchende Anwalt seine Geschäftstätigkeit ausübt11. Sachlich zuständig ist nach § 7 Abs. 1 Ziff. 5 AnwG12 die Anwaltskommission. b) Für die Entbindung vom Anwaltsgeheimnis nach Art. 321 Ziff. 1 StGB muss eine Interessenabwägung vorgenommen werden13. Dabei ist in Rechnung zu stellen, dass das Berufsgeheimnis einen hohen Stellenwert hat. Ob die Bewilligung der Aufsichtsbehörde zu erteilen ist, beurteilt sich aufgrund einer Abwägung sämtlicher auf dem Spiel stehenden Interessen, wobei angesichts der institutionellen und individual- rechtlichen Bedeutung des anwaltlichen Berufsgeheimnisses nur ein deutlich überwie-</w:t>
      </w:r>
    </w:p>
    <w:p>
      <w:r>
        <w:rPr>
          <w:b/>
        </w:rPr>
        <w:t>E. 5</w:t>
      </w:r>
    </w:p>
    <w:p>
      <w:r>
        <w:t>GNV, RB 211.431</w:t>
      </w:r>
    </w:p>
    <w:p>
      <w:r>
        <w:rPr>
          <w:b/>
        </w:rPr>
        <w:t>E. 6</w:t>
      </w:r>
    </w:p>
    <w:p>
      <w:r>
        <w:t>§ 11e Abs. 3 AnwV</w:t>
      </w:r>
    </w:p>
    <w:p>
      <w:r>
        <w:rPr>
          <w:b/>
        </w:rPr>
        <w:t>E. 7</w:t>
      </w:r>
    </w:p>
    <w:p>
      <w:r>
        <w:t>§ 1 GNV</w:t>
      </w:r>
    </w:p>
    <w:p>
      <w:r>
        <w:rPr>
          <w:b/>
        </w:rPr>
        <w:t>E. 8</w:t>
      </w:r>
    </w:p>
    <w:p>
      <w:r>
        <w:t>Art. 13 Abs. 1 BGFA</w:t>
      </w:r>
    </w:p>
    <w:p>
      <w:r>
        <w:rPr>
          <w:b/>
        </w:rPr>
        <w:t>E. 9</w:t>
      </w:r>
    </w:p>
    <w:p>
      <w:r>
        <w:t>Nater/Zindel, in: Kommentar zum Anwaltsgesetz (Hrsg.: Fellmann/Zindel), 2.A., Art. 13 BGFA N. 160</w:t>
      </w:r>
    </w:p>
    <w:p>
      <w:r>
        <w:rPr>
          <w:b/>
        </w:rPr>
        <w:t>E. 10</w:t>
      </w:r>
    </w:p>
    <w:p>
      <w:r>
        <w:t>Nater/Zindel, Art. 13 BGFA N. 137</w:t>
      </w:r>
    </w:p>
    <w:p>
      <w:r>
        <w:rPr>
          <w:b/>
        </w:rPr>
        <w:t>E. 11</w:t>
      </w:r>
    </w:p>
    <w:p>
      <w:r>
        <w:t>Nater/Zindel, Art. 13 BGFA N. 138</w:t>
      </w:r>
    </w:p>
    <w:p>
      <w:r>
        <w:rPr>
          <w:b/>
        </w:rPr>
        <w:t>E. 12</w:t>
      </w:r>
    </w:p>
    <w:p>
      <w:r>
        <w:t>Anwaltsgesetz, RB 176.1</w:t>
      </w:r>
    </w:p>
    <w:p>
      <w:r>
        <w:rPr>
          <w:b/>
        </w:rPr>
        <w:t>E. 13</w:t>
      </w:r>
    </w:p>
    <w:p>
      <w:r>
        <w:t>Nater/Zindel, Art. 13 BGFA N. 153</w:t>
      </w:r>
    </w:p>
    <w:p>
      <w:r>
        <w:t>gendes öffentliches oder privates Interesse eine Entbindung als angemessen erschei- nen lassen14. Massgebend sind stets die Umstände des Einzelfalles15. 4. Im vorliegenden Fall ist davon auszugehen, dass es klar im Interesse der Verstorbenen liegt, dass die Gültigkeit ihrer letztwilligen Verfügung festgestellt wird und der Gesuchsteller in einer Klage auf Ungültigkeit dieser letztwilligen Verfügung umfas- send Auskunft geben kann. Dieses Interesse überwiegt die allfälligen Interessen weite- rer Beteiligter, weshalb eine Entbindung vom Anwaltsgeheimnis erfolgen kann, auch wenn keine näheren Angaben zum genauen Inhalt der Ungültigkeitsklage vorliegen. Folglich ist das Gesuch zu schützen und der Gesuchsteller ist vom Anwaltsgeheimnis zu entbinden. Anwaltskommission, 30. Oktober 2020, AK.2020.47</w:t>
      </w:r>
    </w:p>
    <w:p>
      <w:r>
        <w:rPr>
          <w:b/>
        </w:rPr>
        <w:t>E. 14</w:t>
      </w:r>
    </w:p>
    <w:p>
      <w:r>
        <w:t>BGE 142 II 311</w:t>
      </w:r>
    </w:p>
    <w:p>
      <w:r>
        <w:rPr>
          <w:b/>
        </w:rPr>
        <w:t>E. 15</w:t>
      </w:r>
    </w:p>
    <w:p>
      <w:r>
        <w:t>Fellmann, Anwaltsrecht, 2.A., N. 594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