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 2024 52 vom 4. Dezember 2024</w:t>
      </w:r>
    </w:p>
    <w:p>
      <w:r>
        <w:t>Sz Verwaltungsgericht, 2024-12-04, DE</w:t>
      </w:r>
    </w:p>
    <w:p>
      <w:r>
        <w:rPr>
          <w:b/>
        </w:rPr>
        <w:t xml:space="preserve">Quelle: </w:t>
      </w:r>
      <w:r>
        <w:t>https://mcp.opencaselaw.ch/entscheid/sz_verwaltungsgericht_I_2024_52</w:t>
      </w:r>
    </w:p>
    <w:p>
      <w:r>
        <w:t>FR: SZ_VERWALTUNGSGERICHT I 2024 52 du 4 décembre 2024</w:t>
      </w:r>
    </w:p>
    <w:p>
      <w:r>
        <w:t>IT: SZ_VERWALTUNGSGERICHT I 2024 52 del 4 dicembre 2024</w:t>
      </w:r>
    </w:p>
    <w:p>
      <w:pPr>
        <w:pStyle w:val="Heading2"/>
      </w:pPr>
      <w:r>
        <w:t>Regeste</w:t>
      </w:r>
    </w:p>
    <w:p>
      <w:r>
        <w:t>Invalidenversicherung (Rente)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angefochtener Verfügung vom 23. Mai 2024 erwog die IV-Stelle, gesamthaft bestehe aufgrund des Gutachtens der SMAB AG SG aus medizinisch-theoretischer Sicht mit Blick auf die Beurteilung der Arbeitsfähigkeit eine gegenüber der letzten Verfügung vom 7. Mai 2021 (bestätigt durch VGE I 2021 37 am 17.11.2021) unveränderte Situation. In der bisherigen Tätigkeit werde eine Arbeitsfähigkeit von unverändert 70% attestiert, in einer angepassten Tätigkeit unverändert eine solche von 100%. Zumutbar seien Tätigkeiten mit maximal leichter bis mittlerer körperlicher Belastung, keine Nachtschichttätigkeiten. Weiter wurde ein Valideneinkommen gemäss Tabellenlohn (LSE 2020, Bereich Energieversorgung [35], Kompetenzniveau 3, Männer, aufgerechnet auf 41.2 Std und indexiert) von Fr. 108'350.20 ermittelt, sowie ein Invalideneinkommen bei 70% Arbeitsfähigkeit von Fr. 75'845.15, was einen Invaliditätsgrad von 30% ergab. Zugleich wurde der Invaliditätsgrad auch unter Berücksichtigung der IVV-Revision per 1. Januar 2024 ermittelt mit neuem Pauschalabzug von 10% (vgl.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